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A5" w:rsidRPr="00082FCD" w:rsidRDefault="008D48A5" w:rsidP="008D48A5">
      <w:pPr>
        <w:spacing w:line="240" w:lineRule="auto"/>
        <w:ind w:left="-1136" w:right="-1134"/>
        <w:jc w:val="center"/>
        <w:rPr>
          <w:rFonts w:cs="B Nazanin"/>
          <w:b/>
          <w:bCs/>
          <w:sz w:val="40"/>
          <w:szCs w:val="40"/>
          <w:rtl/>
          <w:lang w:val="en-ZW"/>
        </w:rPr>
      </w:pPr>
      <w:r w:rsidRPr="00082FCD">
        <w:rPr>
          <w:rFonts w:cs="B Nazanin" w:hint="cs"/>
          <w:b/>
          <w:bCs/>
          <w:sz w:val="40"/>
          <w:szCs w:val="40"/>
          <w:rtl/>
          <w:lang w:val="en-ZW"/>
        </w:rPr>
        <w:t>فصل 6</w:t>
      </w:r>
    </w:p>
    <w:p w:rsidR="008D48A5" w:rsidRPr="00082FCD" w:rsidRDefault="008D48A5" w:rsidP="008D48A5">
      <w:pPr>
        <w:spacing w:line="240" w:lineRule="auto"/>
        <w:ind w:left="-1136" w:right="-1134"/>
        <w:jc w:val="center"/>
        <w:rPr>
          <w:rFonts w:cs="B Nazanin"/>
          <w:b/>
          <w:bCs/>
          <w:sz w:val="40"/>
          <w:szCs w:val="40"/>
          <w:rtl/>
          <w:lang w:val="en-ZW"/>
        </w:rPr>
      </w:pPr>
      <w:r w:rsidRPr="00082FCD">
        <w:rPr>
          <w:rFonts w:cs="B Nazanin" w:hint="cs"/>
          <w:b/>
          <w:bCs/>
          <w:sz w:val="40"/>
          <w:szCs w:val="40"/>
          <w:rtl/>
          <w:lang w:val="en-ZW"/>
        </w:rPr>
        <w:t>تصویرسازی ذهنی، خودگفتاری و تمرکز</w:t>
      </w:r>
    </w:p>
    <w:p w:rsidR="008D48A5" w:rsidRDefault="008D48A5" w:rsidP="008D48A5">
      <w:pPr>
        <w:spacing w:line="240" w:lineRule="auto"/>
        <w:ind w:left="-1136" w:right="-1134"/>
        <w:rPr>
          <w:rFonts w:cs="B Nazanin"/>
          <w:b/>
          <w:bCs/>
          <w:sz w:val="28"/>
          <w:szCs w:val="28"/>
          <w:rtl/>
          <w:lang w:val="en-ZW"/>
        </w:rPr>
      </w:pPr>
    </w:p>
    <w:p w:rsidR="008D48A5" w:rsidRPr="00082FCD" w:rsidRDefault="008D48A5" w:rsidP="008D48A5">
      <w:pPr>
        <w:spacing w:line="240" w:lineRule="auto"/>
        <w:ind w:right="-1134"/>
        <w:rPr>
          <w:rFonts w:cs="B Nazanin"/>
          <w:b/>
          <w:bCs/>
          <w:sz w:val="24"/>
          <w:szCs w:val="24"/>
          <w:rtl/>
          <w:lang w:val="en-ZW"/>
        </w:rPr>
      </w:pPr>
      <w:r w:rsidRPr="00082FCD">
        <w:rPr>
          <w:rFonts w:cs="B Nazanin" w:hint="cs"/>
          <w:b/>
          <w:bCs/>
          <w:sz w:val="24"/>
          <w:szCs w:val="24"/>
          <w:rtl/>
          <w:lang w:val="en-ZW"/>
        </w:rPr>
        <w:t>رئوس مطالب فصل</w:t>
      </w:r>
    </w:p>
    <w:p w:rsidR="002D2FB8" w:rsidRPr="000125AA" w:rsidRDefault="002D2FB8" w:rsidP="002D2FB8">
      <w:pPr>
        <w:spacing w:after="0" w:line="480" w:lineRule="auto"/>
        <w:ind w:right="-1134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</w:rPr>
        <w:sym w:font="Wingdings 2" w:char="F097"/>
      </w:r>
      <w:r w:rsidRPr="000125AA">
        <w:rPr>
          <w:rFonts w:cs="B Nazanin" w:hint="cs"/>
          <w:sz w:val="28"/>
          <w:szCs w:val="28"/>
          <w:rtl/>
        </w:rPr>
        <w:t xml:space="preserve"> خودگفتاری</w:t>
      </w:r>
    </w:p>
    <w:p w:rsidR="002D2FB8" w:rsidRPr="000125AA" w:rsidRDefault="002D2FB8" w:rsidP="002D2FB8">
      <w:pPr>
        <w:spacing w:after="0" w:line="480" w:lineRule="auto"/>
        <w:ind w:right="-1134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</w:rPr>
        <w:sym w:font="Wingdings 2" w:char="F097"/>
      </w:r>
      <w:r w:rsidRPr="000125AA">
        <w:rPr>
          <w:rFonts w:cs="B Nazanin" w:hint="cs"/>
          <w:sz w:val="28"/>
          <w:szCs w:val="28"/>
          <w:rtl/>
        </w:rPr>
        <w:t xml:space="preserve"> خودگفتاری منفی یا مداخله شناختی</w:t>
      </w:r>
    </w:p>
    <w:p w:rsidR="002D2FB8" w:rsidRPr="000125AA" w:rsidRDefault="002D2FB8" w:rsidP="002D2FB8">
      <w:pPr>
        <w:spacing w:after="0" w:line="480" w:lineRule="auto"/>
        <w:ind w:right="-1134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</w:rPr>
        <w:sym w:font="Wingdings 2" w:char="F097"/>
      </w:r>
      <w:r w:rsidRPr="000125AA">
        <w:rPr>
          <w:rFonts w:cs="B Nazanin" w:hint="cs"/>
          <w:sz w:val="28"/>
          <w:szCs w:val="28"/>
          <w:rtl/>
        </w:rPr>
        <w:t xml:space="preserve"> مداخله شناختی رهاکننده از قید</w:t>
      </w:r>
    </w:p>
    <w:p w:rsidR="00846D96" w:rsidRDefault="00846D96"/>
    <w:p w:rsidR="008E7BB7" w:rsidRDefault="008E7BB7"/>
    <w:p w:rsidR="008E7BB7" w:rsidRDefault="008E7BB7"/>
    <w:p w:rsidR="008E7BB7" w:rsidRDefault="008E7BB7"/>
    <w:p w:rsidR="008E7BB7" w:rsidRDefault="008E7BB7"/>
    <w:p w:rsidR="008E7BB7" w:rsidRDefault="008E7BB7"/>
    <w:p w:rsidR="008E7BB7" w:rsidRDefault="008E7BB7"/>
    <w:p w:rsidR="008E7BB7" w:rsidRDefault="008E7BB7"/>
    <w:p w:rsidR="008E7BB7" w:rsidRDefault="008E7BB7"/>
    <w:p w:rsidR="008E7BB7" w:rsidRDefault="008E7BB7"/>
    <w:p w:rsidR="008E7BB7" w:rsidRDefault="008E7BB7"/>
    <w:p w:rsidR="008D48A5" w:rsidRDefault="008D48A5"/>
    <w:p w:rsidR="008D48A5" w:rsidRDefault="008D48A5"/>
    <w:p w:rsidR="008D48A5" w:rsidRDefault="008D48A5"/>
    <w:p w:rsidR="002D2FB8" w:rsidRDefault="002D2FB8" w:rsidP="008D48A5">
      <w:pPr>
        <w:spacing w:line="360" w:lineRule="auto"/>
        <w:rPr>
          <w:sz w:val="24"/>
          <w:szCs w:val="24"/>
          <w:rtl/>
        </w:rPr>
      </w:pPr>
    </w:p>
    <w:p w:rsidR="002D2FB8" w:rsidRDefault="002D2FB8" w:rsidP="008D48A5">
      <w:pPr>
        <w:spacing w:line="360" w:lineRule="auto"/>
        <w:rPr>
          <w:sz w:val="24"/>
          <w:szCs w:val="24"/>
          <w:rtl/>
        </w:rPr>
      </w:pPr>
    </w:p>
    <w:p w:rsidR="002D2FB8" w:rsidRDefault="002D2FB8" w:rsidP="008D48A5">
      <w:pPr>
        <w:spacing w:line="360" w:lineRule="auto"/>
        <w:rPr>
          <w:sz w:val="24"/>
          <w:szCs w:val="24"/>
          <w:rtl/>
        </w:rPr>
      </w:pPr>
    </w:p>
    <w:p w:rsidR="002D2FB8" w:rsidRPr="000125AA" w:rsidRDefault="002D2FB8" w:rsidP="002D2FB8">
      <w:pPr>
        <w:spacing w:before="100" w:beforeAutospacing="1" w:after="0" w:line="360" w:lineRule="auto"/>
        <w:jc w:val="mediumKashida"/>
        <w:rPr>
          <w:rFonts w:cs="B Nazanin"/>
          <w:b/>
          <w:bCs/>
          <w:sz w:val="28"/>
          <w:szCs w:val="28"/>
          <w:rtl/>
        </w:rPr>
      </w:pPr>
      <w:r w:rsidRPr="000125AA">
        <w:rPr>
          <w:rFonts w:cs="B Nazanin" w:hint="cs"/>
          <w:b/>
          <w:bCs/>
          <w:sz w:val="28"/>
          <w:szCs w:val="28"/>
          <w:rtl/>
        </w:rPr>
        <w:lastRenderedPageBreak/>
        <w:t xml:space="preserve">خودگفتاری </w:t>
      </w:r>
    </w:p>
    <w:p w:rsidR="002D2FB8" w:rsidRPr="000125AA" w:rsidRDefault="002D2FB8" w:rsidP="002D2FB8">
      <w:pPr>
        <w:spacing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خودگفتاری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"/>
      </w:r>
      <w:r w:rsidRPr="000125AA">
        <w:rPr>
          <w:rFonts w:cs="B Nazanin" w:hint="cs"/>
          <w:sz w:val="28"/>
          <w:szCs w:val="28"/>
          <w:rtl/>
        </w:rPr>
        <w:t xml:space="preserve"> به آنچه افراد با خودشان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گویند، اشاره دارد. ممکن است بدون صدا یا برای دیگران قابل شنیدن باشد. خودگفتاری به صورتی که دیگران بشنوند، بیشتر در میان کودکان دیده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شود و با رسیدن به بلوغ، این قضیه رو به پنهانی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شدن و خاموش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شدن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رود. روان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شناسان ورزشی خوداظهاری را مورد مطالعه قرار داده</w:t>
      </w:r>
      <w:r w:rsidRPr="000125AA">
        <w:rPr>
          <w:rFonts w:cs="B Nazanin" w:hint="cs"/>
          <w:sz w:val="28"/>
          <w:szCs w:val="28"/>
          <w:rtl/>
        </w:rPr>
        <w:softHyphen/>
        <w:t>اند که شامل  عوامل زیر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شود: هدایت توجه (مثلاً از یک حریف چه انتظاری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رود)، انگیزه دادن (مثلاً من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توانم)، برچسب زدن روی خود یا دیگران (مثلاً من تحت فشار عملکرد خوبی ندارم)، قضاوت کردن عملکرد (مثلاً من بدترینم) و افزایش یا تضعیف عملکرد (هاردی، 2006؛ هتزیجورجیادیس، زوبانوس و تئودوراکیس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"/>
      </w:r>
      <w:r w:rsidRPr="000125AA">
        <w:rPr>
          <w:rFonts w:cs="B Nazanin" w:hint="cs"/>
          <w:sz w:val="28"/>
          <w:szCs w:val="28"/>
          <w:rtl/>
        </w:rPr>
        <w:t>، 2009؛ تئودوراکیس و هتزیجورجیادیس و کرونی، 2008؛ ویلیامز و لفینگول، 1996). خودگفتاری برای کسب مهارت (قرار بده نوک پنجه پا را به سمت پایین و ضربه بزن به توپ فوتبال با روی پا)، خودآموزشی (تقسیم کن گام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 را در صورت ضرورت تا پای تیک</w:t>
      </w:r>
      <w:r w:rsidRPr="000125AA">
        <w:rPr>
          <w:rFonts w:cs="B Nazanin" w:hint="cs"/>
          <w:sz w:val="28"/>
          <w:szCs w:val="28"/>
          <w:rtl/>
        </w:rPr>
        <w:softHyphen/>
        <w:t>آف خود را به درستی قرار دهید) و شکستن عادت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بد (تعقیب توپ در کل مسیر برخورد به راکت) استفاده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شود (کاتن و لندین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3"/>
      </w:r>
      <w:r w:rsidRPr="000125AA">
        <w:rPr>
          <w:rFonts w:cs="B Nazanin" w:hint="cs"/>
          <w:sz w:val="28"/>
          <w:szCs w:val="28"/>
          <w:rtl/>
        </w:rPr>
        <w:t>، 2007؛ لندین و هبرت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4"/>
      </w:r>
      <w:r w:rsidRPr="000125AA">
        <w:rPr>
          <w:rFonts w:cs="B Nazanin" w:hint="cs"/>
          <w:sz w:val="28"/>
          <w:szCs w:val="28"/>
          <w:rtl/>
        </w:rPr>
        <w:t>، 1999).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خودگفتاری که خودپنداری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5"/>
      </w:r>
      <w:r w:rsidRPr="000125AA">
        <w:rPr>
          <w:rFonts w:cs="B Nazanin" w:hint="cs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  <w:lang w:val="en-ZW"/>
        </w:rPr>
        <w:t xml:space="preserve">و اعتماد به نفس </w:t>
      </w:r>
      <w:r w:rsidRPr="000125AA">
        <w:rPr>
          <w:rFonts w:cs="B Nazanin" w:hint="cs"/>
          <w:sz w:val="28"/>
          <w:szCs w:val="28"/>
          <w:rtl/>
        </w:rPr>
        <w:t>را به شکل مثبتی حمایت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کند،  توجه را به سمت تکالیفی که برای عملکرد موفق ضروری است، هدایت می</w:t>
      </w:r>
      <w:r w:rsidRPr="000125AA">
        <w:rPr>
          <w:rFonts w:cs="B Nazanin" w:hint="cs"/>
          <w:sz w:val="28"/>
          <w:szCs w:val="28"/>
          <w:rtl/>
        </w:rPr>
        <w:softHyphen/>
        <w:t>کند</w:t>
      </w:r>
      <w:r w:rsidRPr="000125AA">
        <w:rPr>
          <w:rFonts w:cs="B Nazanin" w:hint="cs"/>
          <w:sz w:val="28"/>
          <w:szCs w:val="28"/>
          <w:rtl/>
          <w:lang w:val="en-ZW"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 شک و تردید نسبت به خود و اضطراب را کاهش می</w:t>
      </w:r>
      <w:r w:rsidRPr="000125AA">
        <w:rPr>
          <w:rFonts w:cs="B Nazanin" w:hint="cs"/>
          <w:sz w:val="28"/>
          <w:szCs w:val="28"/>
          <w:rtl/>
        </w:rPr>
        <w:softHyphen/>
        <w:t>دهد (هاردی و همکاران، 1996؛ هتزیجورجیادیس، زوربانوس و کالانیس و تئودوراکیس، 2012؛ شولر ولانجنس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6"/>
      </w:r>
      <w:r w:rsidRPr="000125AA">
        <w:rPr>
          <w:rFonts w:cs="B Nazanin" w:hint="cs"/>
          <w:sz w:val="28"/>
          <w:szCs w:val="28"/>
          <w:rtl/>
        </w:rPr>
        <w:t xml:space="preserve">، 2007) سازگاریافته است. 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lastRenderedPageBreak/>
        <w:t>خودگفتاری سازگاریافته، مقتصد است و بر اقدامات کلیدی و ضروری برای عملکرد مطلوب متمرکز شده است (لاتینجک، تورگروسا و رنوم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7"/>
      </w:r>
      <w:r w:rsidRPr="000125AA">
        <w:rPr>
          <w:rFonts w:cs="B Nazanin" w:hint="cs"/>
          <w:sz w:val="28"/>
          <w:szCs w:val="28"/>
          <w:rtl/>
        </w:rPr>
        <w:t>، 2011). خودگفتاری که توجه را از تکلیف منحرف می</w:t>
      </w:r>
      <w:r w:rsidRPr="000125AA">
        <w:rPr>
          <w:rFonts w:cs="B Nazanin"/>
          <w:sz w:val="28"/>
          <w:szCs w:val="28"/>
        </w:rPr>
        <w:softHyphen/>
      </w:r>
      <w:r w:rsidRPr="000125AA">
        <w:rPr>
          <w:rFonts w:cs="B Nazanin" w:hint="cs"/>
          <w:sz w:val="28"/>
          <w:szCs w:val="28"/>
          <w:rtl/>
        </w:rPr>
        <w:t>کند و به سؤالاتی درباره این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که آیا عملکرد، موفقیت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آمیز خواهد بود یا واکنش به دیگران می</w:t>
      </w:r>
      <w:r w:rsidRPr="000125AA">
        <w:rPr>
          <w:rFonts w:cs="B Nazanin" w:hint="cs"/>
          <w:sz w:val="28"/>
          <w:szCs w:val="28"/>
          <w:rtl/>
        </w:rPr>
        <w:softHyphen/>
        <w:t>پردازد، به عنوان خودگفتاری منفی تلقی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شود (هایسلیپ، پتری</w:t>
      </w:r>
      <w:r w:rsidRPr="000125AA">
        <w:rPr>
          <w:rFonts w:cs="B Nazanin" w:hint="cs"/>
          <w:sz w:val="28"/>
          <w:szCs w:val="28"/>
          <w:rtl/>
          <w:lang w:val="en-ZW"/>
        </w:rPr>
        <w:t>ه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8"/>
      </w:r>
      <w:r w:rsidRPr="000125AA">
        <w:rPr>
          <w:rFonts w:cs="B Nazanin" w:hint="cs"/>
          <w:sz w:val="28"/>
          <w:szCs w:val="28"/>
          <w:rtl/>
        </w:rPr>
        <w:t>، مک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انتایر و جونز، 2010). خودگفتاری ممکن است بر اشتباهات گذشته تمرکز کند یا توجه مستقیم به آینده داشته باشد، از جمله این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که فرد مسابقه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ای را ببرد یا ببازد. با کمال تعجب، اثر منفی این قضیه روی عملکرد به طور گسترده مورد مطالعه قرار نگرفته است (تاد، هاردی و الیور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9"/>
      </w:r>
      <w:r w:rsidRPr="000125AA">
        <w:rPr>
          <w:rFonts w:cs="B Nazanin" w:hint="cs"/>
          <w:sz w:val="28"/>
          <w:szCs w:val="28"/>
          <w:rtl/>
        </w:rPr>
        <w:t xml:space="preserve">، 2011). 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متأسفانه بعضی اوقات خودگفتاری در تنیس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بازان دبیرستانی طی مسابقه بین اظهار انتقاد از خود  و قضاوت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 متعادل شد (ون رلته، برور، ریورا و پتیتپاس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0"/>
      </w:r>
      <w:r w:rsidRPr="000125AA">
        <w:rPr>
          <w:rFonts w:cs="B Nazanin" w:hint="cs"/>
          <w:sz w:val="28"/>
          <w:szCs w:val="28"/>
          <w:rtl/>
        </w:rPr>
        <w:t>، 1994). خودگفتاری در تنیس</w:t>
      </w:r>
      <w:r w:rsidRPr="000125AA">
        <w:rPr>
          <w:rFonts w:cs="B Nazanin"/>
          <w:sz w:val="28"/>
          <w:szCs w:val="28"/>
        </w:rPr>
        <w:softHyphen/>
      </w:r>
      <w:r w:rsidRPr="000125AA">
        <w:rPr>
          <w:rFonts w:cs="B Nazanin" w:hint="cs"/>
          <w:sz w:val="28"/>
          <w:szCs w:val="28"/>
          <w:rtl/>
        </w:rPr>
        <w:t>بازان بزرگسال ماهر نیز با لحن منفی به کار برده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شد. استفاده از خودگفتاری منفی به طور مکرر6 بار طی یک مسابقه توسط 94 درصد  از شرکت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کنندگان نشان داده شد و در حالی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که این توالی برای خودگفتاری مثبت فقط 11 درصد گزارش شد (ون رلته، کورنلیوس، هتن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1"/>
      </w:r>
      <w:r w:rsidRPr="000125AA">
        <w:rPr>
          <w:rFonts w:cs="B Nazanin" w:hint="cs"/>
          <w:sz w:val="28"/>
          <w:szCs w:val="28"/>
          <w:rtl/>
        </w:rPr>
        <w:t xml:space="preserve"> و برودر، 2000).  علاوه بر این، خودگفتاری اغلب در پاسخ به اقدامات قبل از مسابقه بود و در هدایت توجه منظم به مسابقه واقعی یا پیش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بینی بازی رقبا، آشکار نشد. همه رقبا از مخالفان خود حداقل دو بار قدردانی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کردند. اگرچه قدردانی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 و تعارفات روابط ورزشی را نشان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دهد، اما آنها ممکن است در طول بازی منحرف شوند، شاید بهتر این باشد که تا آخر بازی این روند را حفظ کنند. 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این خودگفتاری منفی در مسابقات تنیس واقعی گزارش شد. زمانی که از طریق یک پرسشنامه در مورد خودگفتاری از ورزشکاران دانشگاهی سؤال شد، آنها گزارش دادند که خودگفتاری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شان بشتر </w:t>
      </w:r>
      <w:r w:rsidRPr="000125AA">
        <w:rPr>
          <w:rFonts w:cs="B Nazanin" w:hint="cs"/>
          <w:sz w:val="28"/>
          <w:szCs w:val="28"/>
          <w:rtl/>
        </w:rPr>
        <w:lastRenderedPageBreak/>
        <w:t>مثبت بود تا منفی (هاردی، گامیج و هال، 2001). شاید ورزشکاران فواید خودگفتاری مثبت را درک کرده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اند، اما حفظ یک تمرکز مثبت همزمان با استرس مسابقه بسیار دشوار است. 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خودگفتاری انگیزشی، اعتماد به نفس را افزایش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دهد، باعث ایجاد تجربه تلاش بیشتر می</w:t>
      </w:r>
      <w:r w:rsidRPr="000125AA">
        <w:rPr>
          <w:rFonts w:cs="B Nazanin" w:hint="cs"/>
          <w:sz w:val="28"/>
          <w:szCs w:val="28"/>
          <w:rtl/>
        </w:rPr>
        <w:softHyphen/>
        <w:t>شود و یک خُلق مثبت را توسعه می</w:t>
      </w:r>
      <w:r w:rsidRPr="000125AA">
        <w:rPr>
          <w:rFonts w:cs="B Nazanin" w:hint="cs"/>
          <w:sz w:val="28"/>
          <w:szCs w:val="28"/>
          <w:rtl/>
        </w:rPr>
        <w:softHyphen/>
        <w:t>دهد (هتزیجورجیادیس، زوربانوس، ام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پومپاکی و تئودوراکیس، 2009). برای مثال، سطح شدت و آمادگی برای بازی بازیکنان فوتبال به خصوص برای بازی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تهاجمی ممکن است با عباراتی مثل (این بازی همان است که من دوست دارم) تقویت شود که آن خود کارآمدی و کارآیی را در فرد افزایش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دهد (هتزیجورجیادیس، زوربانوس، گلتسیوس و تئودوراکیس، 2008). 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خودگفتاری آموزشی بر توسعه و به کارگیری مهارت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ورزشی و استراتژی تمرکز دارد (زرواس، استاورو و سایکون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تاکی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2"/>
      </w:r>
      <w:r w:rsidRPr="000125AA">
        <w:rPr>
          <w:rFonts w:cs="B Nazanin" w:hint="cs"/>
          <w:sz w:val="28"/>
          <w:szCs w:val="28"/>
          <w:rtl/>
        </w:rPr>
        <w:t>، 2007)</w:t>
      </w:r>
      <w:r w:rsidRPr="000125AA">
        <w:rPr>
          <w:rFonts w:cs="B Nazanin" w:hint="cs"/>
          <w:sz w:val="28"/>
          <w:szCs w:val="28"/>
          <w:rtl/>
          <w:lang w:val="en-ZW"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یک مثال از خودگفتاری آموزشی، خودآموزشی است که توسط شیرجه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روهای ماهر و موفق در طول تمرین و قبل از آن مورد استفاده قرار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گیرد (هایلن و بنت، 1983).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به طور سنتی، خودگفتاری انگیزشی بیشتر برای تسهیل عملکرد در مهارت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هایی که عمدتاً به قدرت و استقامت عضلانی نیاز دارد، به عنوان یک عامل مفید دیده شده است، اما خودگفتاری آموزشی نیز این عملکرد را افزایش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دهد. مثلاً هر دوی این موارد در افزایش کینماتیک حرکت و قدرت و هماهنگی در طول پرش عمودی به یک میزان مؤثر بوده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اند (تاد، تاچر، مک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گوایگان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3"/>
      </w:r>
      <w:r w:rsidRPr="000125AA">
        <w:rPr>
          <w:rFonts w:cs="B Nazanin" w:hint="cs"/>
          <w:sz w:val="28"/>
          <w:szCs w:val="28"/>
          <w:rtl/>
        </w:rPr>
        <w:t>، تاچر، 2009).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خودگفتاری آموزشی اجرا را تا درجه زیادی در تکالیفی که نیاز به حرکات ظریف، تمرکز پایدار، پیش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بینی، برنامه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ریزی و انتخاب منعطف و کاربرد استراتژی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 دارند، افزایش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دهد. البته </w:t>
      </w:r>
      <w:r w:rsidRPr="000125AA">
        <w:rPr>
          <w:rFonts w:cs="B Nazanin" w:hint="cs"/>
          <w:sz w:val="28"/>
          <w:szCs w:val="28"/>
          <w:rtl/>
        </w:rPr>
        <w:lastRenderedPageBreak/>
        <w:t>خودگفتاری انگیزشی هم عملکرد را در این تکالیف افزایش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دهد (هتزیجورجیادیس و همکاران، 2011؛ تاد و همکاران، 2011).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برخی از نویسندگان استفاده از خودگفتاری آموزشی را در طول یادگیری مهارت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 تشویق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کنند. برای مثال، در یادگیری ضربه به توپ فوتبال، فوتبالیست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جوان برای قرار دادن پا جهت ضربه زدن به توپ با قسمت روی پا و نگاه کردن به توپ تا نقطه برخورد، دستورالعمل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 را با خود مرور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کنند. همان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گونه که مهارت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 بعد از مدتی در فرد به صورت خودکار درمی</w:t>
      </w:r>
      <w:r w:rsidRPr="000125AA">
        <w:rPr>
          <w:rFonts w:cs="B Nazanin" w:hint="cs"/>
          <w:sz w:val="28"/>
          <w:szCs w:val="28"/>
          <w:rtl/>
        </w:rPr>
        <w:softHyphen/>
        <w:t>آید، خودگفتاری هم ممکن است به جنبه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عمومی مهارت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ورزشی مثل چگونگی تنظیم یا فریب دادن مدافعین معطوف شود (زینسر، بونکر و ویلیامز، 1998). توسعه مهارت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خودکار در عناوین بعدی این فصل مورد بحث قرار خواهد گرفت. حتی ورزشکاران ماهر هم از خودگفتاری آموزشی برای توجه و تمرکز بر تکنیک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خاص بهره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مند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شوند (هتزیجورجیادیس و همکاران، 2011). برای مثال، بازیکنان ماهر زیر 14 سال فوتبال زنان زمانی که از واژه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 نشانه "</w:t>
      </w:r>
      <w:r w:rsidRPr="000125AA">
        <w:rPr>
          <w:rFonts w:cs="B Nazanin"/>
          <w:sz w:val="28"/>
          <w:szCs w:val="28"/>
        </w:rPr>
        <w:t>downlock</w:t>
      </w:r>
      <w:r w:rsidRPr="000125AA">
        <w:rPr>
          <w:rFonts w:cs="B Nazanin" w:hint="cs"/>
          <w:sz w:val="28"/>
          <w:szCs w:val="28"/>
          <w:rtl/>
        </w:rPr>
        <w:t>" برای تمرکز بر تکنیک مناسب که شامل پایین نگه داشتن و قفل کردن مچ پای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</w:t>
      </w:r>
      <w:r w:rsidRPr="000125AA">
        <w:rPr>
          <w:rFonts w:cs="B Nazanin" w:hint="cs"/>
          <w:sz w:val="28"/>
          <w:szCs w:val="28"/>
          <w:rtl/>
          <w:lang w:val="en-ZW"/>
        </w:rPr>
        <w:t xml:space="preserve"> بود،</w:t>
      </w:r>
      <w:r w:rsidRPr="000125AA">
        <w:rPr>
          <w:rFonts w:cs="B Nazanin" w:hint="cs"/>
          <w:sz w:val="28"/>
          <w:szCs w:val="28"/>
          <w:rtl/>
        </w:rPr>
        <w:t xml:space="preserve"> استفاده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کردند، ضربه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</w:t>
      </w:r>
      <w:r w:rsidRPr="000125AA">
        <w:rPr>
          <w:rFonts w:cs="B Nazanin" w:hint="cs"/>
          <w:sz w:val="28"/>
          <w:szCs w:val="28"/>
          <w:rtl/>
        </w:rPr>
        <w:softHyphen/>
        <w:t>شان را دقیق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تر به هدف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زدند (جانسون، هر</w:t>
      </w:r>
      <w:r w:rsidRPr="000125AA">
        <w:rPr>
          <w:rFonts w:cs="B Nazanin" w:hint="cs"/>
          <w:sz w:val="28"/>
          <w:szCs w:val="28"/>
          <w:rtl/>
          <w:lang w:val="en-ZW"/>
        </w:rPr>
        <w:t>ا</w:t>
      </w:r>
      <w:r w:rsidRPr="000125AA">
        <w:rPr>
          <w:rFonts w:cs="B Nazanin" w:hint="cs"/>
          <w:sz w:val="28"/>
          <w:szCs w:val="28"/>
          <w:rtl/>
        </w:rPr>
        <w:t>یکاکو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4"/>
      </w:r>
      <w:r w:rsidRPr="000125AA">
        <w:rPr>
          <w:rFonts w:cs="B Nazanin" w:hint="cs"/>
          <w:sz w:val="28"/>
          <w:szCs w:val="28"/>
          <w:rtl/>
        </w:rPr>
        <w:t>، جانسون و هال، 2004). زنان تنیس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باز دسته یک و دانشگاهی نشان دادند که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توانند با استفاده از کلمه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نشانه "شکافتن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5"/>
      </w:r>
      <w:r w:rsidRPr="000125AA">
        <w:rPr>
          <w:rFonts w:cs="B Nazanin" w:hint="cs"/>
          <w:sz w:val="28"/>
          <w:szCs w:val="28"/>
          <w:rtl/>
        </w:rPr>
        <w:t>" و "چرخش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6"/>
      </w:r>
      <w:r w:rsidRPr="000125AA">
        <w:rPr>
          <w:rFonts w:cs="B Nazanin" w:hint="cs"/>
          <w:sz w:val="28"/>
          <w:szCs w:val="28"/>
          <w:rtl/>
        </w:rPr>
        <w:t>" توجه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 را به تکنیک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های بهینه معطوف کنند (لاندین و هربرت، 1999). 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هر دو نوع خودگفتاری آموزشی و انگیزشی فواید بیشتری برای مهار خودگفتاری منفی و مداخله شناختی دارند (هتزیجورجیادیس، تئودوراکیس، زوربانوس، 2004؛ هتزیجئورجیادیس و همکاران، 2008؛ تاد و همکاران، 2011). خودگفتاری مثبت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تواند بخشی از یک روال تطبیقی قبل از اجرا باشد و در تمرکز بر سطح عملکرد تأثیر مثبت داشته باشد. تمرین حفظ یک سری از الگوهای فکری </w:t>
      </w:r>
      <w:r w:rsidRPr="000125AA">
        <w:rPr>
          <w:rFonts w:cs="B Nazanin" w:hint="cs"/>
          <w:sz w:val="28"/>
          <w:szCs w:val="28"/>
          <w:rtl/>
        </w:rPr>
        <w:lastRenderedPageBreak/>
        <w:t>قبل از اجرا و در طی آن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 به شناسایی خودگفتاری در اجرای قابل قبول یا غیر قابل قبول کمک کند. می</w:t>
      </w:r>
      <w:r w:rsidRPr="000125AA">
        <w:rPr>
          <w:rFonts w:cs="B Nazanin" w:hint="cs"/>
          <w:sz w:val="28"/>
          <w:szCs w:val="28"/>
          <w:rtl/>
        </w:rPr>
        <w:softHyphen/>
        <w:t>توان برای ساختن الگوهای آغازین از خودگفتاری که در گذشته با عملکردهای موفقیت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آمیز طی مسابقه و تمرین و قبل از آنها مورد استفاده قرار گرفته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اند، تلاش کرد.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در یک مسابقه واقعی تمامی اشکال خودگفتاری ممکن است رخ دهد. برای مثال ورزشکاران ماهر و زبده یونانی دائماً در تعامل با خودگفتاری مثبت و منفی و آموزشی و انگیزشی طی مسابقه هستند (زوربانوس، کرونی، تئودوراکیس و  پاپالوآنو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7"/>
      </w:r>
      <w:r w:rsidRPr="000125AA">
        <w:rPr>
          <w:rFonts w:cs="B Nazanin" w:hint="cs"/>
          <w:sz w:val="28"/>
          <w:szCs w:val="28"/>
          <w:rtl/>
        </w:rPr>
        <w:t xml:space="preserve">، 2009). محتوای خودگفتاری آنها، هشت دسته مجزا را تشکیل داد: </w:t>
      </w:r>
    </w:p>
    <w:p w:rsidR="002D2FB8" w:rsidRPr="000125AA" w:rsidRDefault="002D2FB8" w:rsidP="002D2FB8">
      <w:pPr>
        <w:pStyle w:val="ListParagraph"/>
        <w:spacing w:before="100" w:beforeAutospacing="1" w:after="0" w:line="360" w:lineRule="auto"/>
        <w:ind w:left="0"/>
        <w:jc w:val="medium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1- افزایش عامل روانی: مثلاً "بیا برویم که 100 درصد امتیاز را بگیریم."</w:t>
      </w:r>
    </w:p>
    <w:p w:rsidR="002D2FB8" w:rsidRPr="000125AA" w:rsidRDefault="002D2FB8" w:rsidP="002D2FB8">
      <w:pPr>
        <w:pStyle w:val="ListParagraph"/>
        <w:spacing w:line="360" w:lineRule="auto"/>
        <w:ind w:left="0"/>
        <w:jc w:val="medium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2- اعتماد به نفس: مثلاً "من خودم را باور دارم، از پسِ آن برمی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آیم."</w:t>
      </w:r>
    </w:p>
    <w:p w:rsidR="002D2FB8" w:rsidRPr="000125AA" w:rsidRDefault="002D2FB8" w:rsidP="002D2FB8">
      <w:pPr>
        <w:pStyle w:val="ListParagraph"/>
        <w:spacing w:line="360" w:lineRule="auto"/>
        <w:ind w:left="0"/>
        <w:jc w:val="medium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3- آموزش: مثلاً "تمرکز کن، زانویت را خم کن."</w:t>
      </w:r>
    </w:p>
    <w:p w:rsidR="002D2FB8" w:rsidRPr="000125AA" w:rsidRDefault="002D2FB8" w:rsidP="002D2FB8">
      <w:pPr>
        <w:pStyle w:val="ListParagraph"/>
        <w:spacing w:line="360" w:lineRule="auto"/>
        <w:ind w:left="0"/>
        <w:jc w:val="medium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4- کنترل اضطراب: مثلاً "آروم باش، استرس نداشته باش."</w:t>
      </w:r>
    </w:p>
    <w:p w:rsidR="002D2FB8" w:rsidRPr="000125AA" w:rsidRDefault="002D2FB8" w:rsidP="002D2FB8">
      <w:pPr>
        <w:pStyle w:val="ListParagraph"/>
        <w:spacing w:line="360" w:lineRule="auto"/>
        <w:ind w:left="0"/>
        <w:jc w:val="medium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5- نگرانی: مثلاً "دارم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بازم، به خوبی بقیه نیستم، بقیه درباره این اجرای ضعیفم چه فکری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کنند."</w:t>
      </w:r>
    </w:p>
    <w:p w:rsidR="002D2FB8" w:rsidRPr="000125AA" w:rsidRDefault="002D2FB8" w:rsidP="002D2FB8">
      <w:pPr>
        <w:pStyle w:val="ListParagraph"/>
        <w:spacing w:line="360" w:lineRule="auto"/>
        <w:ind w:left="0"/>
        <w:jc w:val="medium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6- ترک کردن: مثلاً "می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خواهم از اینجا بروم، نمی توانم ادامه دهم، فکر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کنم باید تلاشم را متوقف کنم."</w:t>
      </w:r>
    </w:p>
    <w:p w:rsidR="002D2FB8" w:rsidRPr="000125AA" w:rsidRDefault="002D2FB8" w:rsidP="002D2FB8">
      <w:pPr>
        <w:pStyle w:val="ListParagraph"/>
        <w:spacing w:line="360" w:lineRule="auto"/>
        <w:ind w:left="0"/>
        <w:jc w:val="medium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7- خستگی جسمی: مثلاً "من خسته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ام، بدن من امروز به من کمکی نمی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کند."</w:t>
      </w:r>
    </w:p>
    <w:p w:rsidR="002D2FB8" w:rsidRPr="000125AA" w:rsidRDefault="002D2FB8" w:rsidP="002D2FB8">
      <w:pPr>
        <w:pStyle w:val="ListParagraph"/>
        <w:spacing w:line="360" w:lineRule="auto"/>
        <w:ind w:left="0"/>
        <w:jc w:val="medium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8- افکار بی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ربط: مثلاً "من گرسنه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ام،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خواهم دوش بگیرم."</w:t>
      </w:r>
    </w:p>
    <w:p w:rsidR="002D2FB8" w:rsidRPr="000125AA" w:rsidRDefault="002D2FB8" w:rsidP="002D2FB8">
      <w:pPr>
        <w:spacing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lastRenderedPageBreak/>
        <w:t>موارد اول و دوم و سوم و چهارم نمونه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هایی از خودگفتاری مثبت هستند و موارد پنجم و ششم و هفتم و هشتم اشکالی از خودگفتاری منفی هستند. به غیر از عامل سوم مبنای همه عوامل انگیزشی بود.</w:t>
      </w:r>
    </w:p>
    <w:p w:rsidR="002D2FB8" w:rsidRPr="000125AA" w:rsidRDefault="002D2FB8" w:rsidP="002D2FB8">
      <w:pPr>
        <w:spacing w:before="100" w:beforeAutospacing="1" w:after="0" w:line="360" w:lineRule="auto"/>
        <w:jc w:val="mediumKashida"/>
        <w:rPr>
          <w:rFonts w:cs="B Nazanin"/>
          <w:b/>
          <w:bCs/>
          <w:sz w:val="28"/>
          <w:szCs w:val="28"/>
          <w:rtl/>
        </w:rPr>
      </w:pPr>
      <w:r w:rsidRPr="000125AA">
        <w:rPr>
          <w:rFonts w:cs="B Nazanin" w:hint="cs"/>
          <w:b/>
          <w:bCs/>
          <w:sz w:val="28"/>
          <w:szCs w:val="28"/>
          <w:rtl/>
        </w:rPr>
        <w:t>خودگفتاری منفی یا تداخل شناختی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همان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طور که قبلاً ذکر شد، خودگفتاری منفی باعث اختلال در تمرکز و عملکرد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شود. خودگفتاری منفی شامل شک و تردید و ابهام در مورد احتمال موفقیت و واکنش تماشاگران است. خودگفتاری منفی با منحرف کردن حواس فرد از مهارت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 و راهبرد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لازم برای عملکرد مطلوبش باعث اختلال در انجام عملکرد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شود. یک اصطلاح کلی برای افکاری مانند خودگفتاری منفی" تداخل شناختی " است (یی و وان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8"/>
      </w:r>
      <w:r w:rsidRPr="000125AA">
        <w:rPr>
          <w:rFonts w:cs="B Nazanin" w:hint="cs"/>
          <w:sz w:val="28"/>
          <w:szCs w:val="28"/>
          <w:rtl/>
        </w:rPr>
        <w:t xml:space="preserve">، 1996)، </w:t>
      </w:r>
      <w:r w:rsidRPr="000125AA">
        <w:rPr>
          <w:rFonts w:cs="B Nazanin" w:hint="cs"/>
          <w:sz w:val="28"/>
          <w:szCs w:val="28"/>
          <w:rtl/>
          <w:lang w:val="en-ZW"/>
        </w:rPr>
        <w:t xml:space="preserve">و </w:t>
      </w:r>
      <w:r w:rsidRPr="000125AA">
        <w:rPr>
          <w:rFonts w:cs="B Nazanin" w:hint="cs"/>
          <w:sz w:val="28"/>
          <w:szCs w:val="28"/>
          <w:rtl/>
        </w:rPr>
        <w:t>تداخل شناختی در جای دیگری در این فصل مورد بحث قرار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گیرد.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ورزشکاران ممکن است از خودگفتاری منفی هنگامی که به طور خودکار یا ناخواسته رخ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دهد، اطلاعی نداشته باشند. اثرات این افکار خودکار موذی، توجه آنها را از کاری که به آن مشغول هستند گرفته و به نگرانی از کفایت در انجام آن کار معطوف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کند. ورزشکاران با حفظ الگویی از رخداد و محتوای این افکار،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توانند از خودگفتاری منفی آگاه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تر شوند (هاردی، رابرتز و هاردی، 2009). </w:t>
      </w:r>
    </w:p>
    <w:p w:rsidR="002D2FB8" w:rsidRPr="000125AA" w:rsidRDefault="002D2FB8" w:rsidP="002D2FB8">
      <w:pPr>
        <w:spacing w:after="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تمرکز ممکن است مختل شده و تداخل شناختی در حین این دوره از عملکرد افزایش یابد. این زمانی رخ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دهد که موانع و حوادث غیر منتظره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ای به وجود آید (به عنوان مثال یک حریف سخت یا یک تاکتیک جدید از رقیب) یا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 به دلیل اضطرابی باشد که قبل یا در طول اجرای عملکرد به وجود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آید (هتزیجئورجیادیس و بیدل، 2008). به یاد بیاورید که اضطراب دارای ابعاد فیزیولوژیکی و شناختی بوده و اضطراب شناختی در مسابقه معمولاً</w:t>
      </w:r>
      <w:bookmarkStart w:id="0" w:name="_GoBack"/>
      <w:bookmarkEnd w:id="0"/>
      <w:r w:rsidRPr="000125AA">
        <w:rPr>
          <w:rFonts w:cs="B Nazanin" w:hint="cs"/>
          <w:sz w:val="28"/>
          <w:szCs w:val="28"/>
          <w:rtl/>
        </w:rPr>
        <w:t xml:space="preserve"> شامل نگرانی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هایی در مورد موفقیت و انتظارات </w:t>
      </w:r>
      <w:r w:rsidRPr="000125AA">
        <w:rPr>
          <w:rFonts w:cs="B Nazanin" w:hint="cs"/>
          <w:sz w:val="28"/>
          <w:szCs w:val="28"/>
          <w:rtl/>
        </w:rPr>
        <w:lastRenderedPageBreak/>
        <w:t>از شکست است (بامیستر و شاورز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19"/>
      </w:r>
      <w:r w:rsidRPr="000125AA">
        <w:rPr>
          <w:rFonts w:cs="B Nazanin" w:hint="cs"/>
          <w:sz w:val="28"/>
          <w:szCs w:val="28"/>
          <w:rtl/>
        </w:rPr>
        <w:t>، 1986؛ هامفریز و روله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0"/>
      </w:r>
      <w:r w:rsidRPr="000125AA">
        <w:rPr>
          <w:rFonts w:cs="B Nazanin" w:hint="cs"/>
          <w:sz w:val="28"/>
          <w:szCs w:val="28"/>
          <w:rtl/>
        </w:rPr>
        <w:t>، 1984؛ ساراسون، پیرس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1"/>
      </w:r>
      <w:r w:rsidRPr="000125AA">
        <w:rPr>
          <w:rFonts w:cs="B Nazanin" w:hint="cs"/>
          <w:sz w:val="28"/>
          <w:szCs w:val="28"/>
          <w:rtl/>
        </w:rPr>
        <w:t xml:space="preserve"> و ساراسون، 1996).</w:t>
      </w:r>
    </w:p>
    <w:p w:rsidR="002D2FB8" w:rsidRPr="000125AA" w:rsidRDefault="002D2FB8" w:rsidP="002D2FB8">
      <w:pPr>
        <w:spacing w:before="240" w:line="360" w:lineRule="auto"/>
        <w:jc w:val="medium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تداخل شناختی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 نظرات یا پیامدهای منفی شنیدنی را به سمت خود فرد تحریک کند (مثلاً "بازنده") و رقیبان (مثلاً "تقلب") و همین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طور باعث رفتارهای غیر ورزشی (مثلاً "با راکت زدن به پا") شود. این رفتارهای غیر ورزشی نه تنها عملکرد را تضعیف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کند، بلکه اعتماد به نفس رقبا را افزایش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دهد چرا که آنها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توانند تشخیص دهند که رقیبشان </w:t>
      </w:r>
      <w:r w:rsidRPr="000125AA">
        <w:rPr>
          <w:rFonts w:cs="B Nazanin" w:hint="cs"/>
          <w:sz w:val="28"/>
          <w:szCs w:val="28"/>
          <w:rtl/>
          <w:lang w:val="en-ZW"/>
        </w:rPr>
        <w:t>در حال از دست دادن بازی هستند</w:t>
      </w:r>
      <w:r w:rsidRPr="000125AA">
        <w:rPr>
          <w:rFonts w:cs="B Nazanin" w:hint="cs"/>
          <w:sz w:val="28"/>
          <w:szCs w:val="28"/>
          <w:rtl/>
        </w:rPr>
        <w:t xml:space="preserve"> (هنگبای و تننبام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2"/>
      </w:r>
      <w:r w:rsidRPr="000125AA">
        <w:rPr>
          <w:rFonts w:cs="B Nazanin" w:hint="cs"/>
          <w:sz w:val="28"/>
          <w:szCs w:val="28"/>
          <w:rtl/>
        </w:rPr>
        <w:t>، 2001).</w:t>
      </w:r>
    </w:p>
    <w:p w:rsidR="002D2FB8" w:rsidRPr="000125AA" w:rsidRDefault="002D2FB8" w:rsidP="002D2FB8">
      <w:pPr>
        <w:spacing w:after="0" w:line="360" w:lineRule="auto"/>
        <w:jc w:val="low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درجه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سطحي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هر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حد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تکالیف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 انجام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دهد،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نسبي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ورزشكاران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همواره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ابهام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دارند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سطح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توانند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موفقيت</w:t>
      </w:r>
      <w:r w:rsidRPr="000125AA">
        <w:rPr>
          <w:rFonts w:cs="B Nazanin" w:hint="cs"/>
          <w:sz w:val="28"/>
          <w:szCs w:val="28"/>
          <w:rtl/>
        </w:rPr>
        <w:softHyphen/>
        <w:t>آميز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داشته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باشند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حال،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افكار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مزاحم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تكراري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درباره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كفايت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يك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بيشتر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تأثير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منفي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دارد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علاوه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اغلب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موارد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زماني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پرسد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انجام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موفق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خواهد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بود،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بيشتر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مايل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پاسخ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بگويد</w:t>
      </w:r>
      <w:r w:rsidRPr="000125AA">
        <w:rPr>
          <w:rFonts w:cs="B Nazanin"/>
          <w:sz w:val="28"/>
          <w:szCs w:val="28"/>
          <w:rtl/>
        </w:rPr>
        <w:t xml:space="preserve"> "</w:t>
      </w:r>
      <w:r w:rsidRPr="000125AA">
        <w:rPr>
          <w:rFonts w:cs="B Nazanin" w:hint="cs"/>
          <w:sz w:val="28"/>
          <w:szCs w:val="28"/>
          <w:rtl/>
        </w:rPr>
        <w:t>نه</w:t>
      </w:r>
      <w:r w:rsidRPr="000125AA">
        <w:rPr>
          <w:rFonts w:cs="B Nazanin"/>
          <w:sz w:val="28"/>
          <w:szCs w:val="28"/>
          <w:rtl/>
        </w:rPr>
        <w:t>"</w:t>
      </w:r>
      <w:r w:rsidRPr="000125AA">
        <w:rPr>
          <w:rFonts w:cs="B Nazanin" w:hint="cs"/>
          <w:sz w:val="28"/>
          <w:szCs w:val="28"/>
          <w:rtl/>
        </w:rPr>
        <w:t xml:space="preserve"> </w:t>
      </w:r>
      <w:r w:rsidRPr="000125AA">
        <w:rPr>
          <w:rFonts w:cs="B Nazanin"/>
          <w:sz w:val="28"/>
          <w:szCs w:val="28"/>
          <w:rtl/>
        </w:rPr>
        <w:t>(</w:t>
      </w:r>
      <w:r w:rsidRPr="000125AA">
        <w:rPr>
          <w:rFonts w:cs="B Nazanin" w:hint="cs"/>
          <w:sz w:val="28"/>
          <w:szCs w:val="28"/>
          <w:rtl/>
        </w:rPr>
        <w:t xml:space="preserve">كارور، </w:t>
      </w:r>
      <w:r w:rsidRPr="000125AA">
        <w:rPr>
          <w:rFonts w:cs="B Nazanin"/>
          <w:sz w:val="28"/>
          <w:szCs w:val="28"/>
          <w:rtl/>
        </w:rPr>
        <w:t>١٩٩٦</w:t>
      </w:r>
      <w:r w:rsidRPr="000125AA">
        <w:rPr>
          <w:rFonts w:cs="B Nazanin" w:hint="cs"/>
          <w:sz w:val="28"/>
          <w:szCs w:val="28"/>
          <w:rtl/>
        </w:rPr>
        <w:t>).</w:t>
      </w:r>
    </w:p>
    <w:p w:rsidR="002D2FB8" w:rsidRPr="000125AA" w:rsidRDefault="002D2FB8" w:rsidP="002D2FB8">
      <w:pPr>
        <w:spacing w:before="100" w:beforeAutospacing="1" w:after="0" w:line="360" w:lineRule="auto"/>
        <w:jc w:val="lowKashida"/>
        <w:rPr>
          <w:rFonts w:cs="B Nazanin"/>
          <w:b/>
          <w:bCs/>
          <w:sz w:val="28"/>
          <w:szCs w:val="28"/>
        </w:rPr>
      </w:pPr>
      <w:r w:rsidRPr="000125AA">
        <w:rPr>
          <w:rFonts w:cs="B Nazanin" w:hint="cs"/>
          <w:b/>
          <w:bCs/>
          <w:sz w:val="28"/>
          <w:szCs w:val="28"/>
          <w:rtl/>
        </w:rPr>
        <w:t>خودگفتاری، تداخل</w:t>
      </w:r>
      <w:r w:rsidRPr="000125AA">
        <w:rPr>
          <w:rFonts w:cs="B Nazanin"/>
          <w:b/>
          <w:bCs/>
          <w:sz w:val="28"/>
          <w:szCs w:val="28"/>
          <w:rtl/>
        </w:rPr>
        <w:t xml:space="preserve"> </w:t>
      </w:r>
      <w:r w:rsidRPr="000125AA">
        <w:rPr>
          <w:rFonts w:cs="B Nazanin" w:hint="cs"/>
          <w:b/>
          <w:bCs/>
          <w:sz w:val="28"/>
          <w:szCs w:val="28"/>
          <w:rtl/>
        </w:rPr>
        <w:t>شناختي</w:t>
      </w:r>
      <w:r w:rsidRPr="000125AA">
        <w:rPr>
          <w:rFonts w:cs="B Nazanin"/>
          <w:b/>
          <w:bCs/>
          <w:sz w:val="28"/>
          <w:szCs w:val="28"/>
          <w:rtl/>
        </w:rPr>
        <w:t xml:space="preserve"> </w:t>
      </w:r>
      <w:r w:rsidRPr="000125AA">
        <w:rPr>
          <w:rFonts w:cs="B Nazanin" w:hint="cs"/>
          <w:b/>
          <w:bCs/>
          <w:sz w:val="28"/>
          <w:szCs w:val="28"/>
          <w:rtl/>
        </w:rPr>
        <w:t>و</w:t>
      </w:r>
      <w:r w:rsidRPr="000125AA">
        <w:rPr>
          <w:rFonts w:cs="B Nazanin"/>
          <w:b/>
          <w:bCs/>
          <w:sz w:val="28"/>
          <w:szCs w:val="28"/>
          <w:rtl/>
        </w:rPr>
        <w:t xml:space="preserve"> </w:t>
      </w:r>
      <w:r w:rsidRPr="000125AA">
        <w:rPr>
          <w:rFonts w:cs="B Nazanin" w:hint="cs"/>
          <w:b/>
          <w:bCs/>
          <w:sz w:val="28"/>
          <w:szCs w:val="28"/>
          <w:rtl/>
        </w:rPr>
        <w:t>خودكارآمدي</w:t>
      </w:r>
    </w:p>
    <w:p w:rsidR="002D2FB8" w:rsidRPr="000125AA" w:rsidRDefault="002D2FB8" w:rsidP="002D2FB8">
      <w:p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افراد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خودكارآمدي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اعتماد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نفس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بالا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بيشتر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قدرت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حفظ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خودگفتاري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مثبت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توجه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سطح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ارزيابي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مواجهه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سختي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دارند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صفات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اعتماد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نفس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خودكارآمدي،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ورزشكاران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توانند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يك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تکلیف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متمركز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بمانند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بسته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سطح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عملكرد، موانع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ترس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ناديده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گرفته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عدم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قطعيت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پيگيري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اهداف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ببرند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اگر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توجه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اعتماد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نفس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افراد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معطوف می</w:t>
      </w:r>
      <w:r w:rsidRPr="000125AA">
        <w:rPr>
          <w:rFonts w:cs="B Nazanin" w:hint="cs"/>
          <w:sz w:val="28"/>
          <w:szCs w:val="28"/>
          <w:rtl/>
        </w:rPr>
        <w:softHyphen/>
        <w:t>شود به سؤالاتی که آیا آنها اهداف خود را انجام می</w:t>
      </w:r>
      <w:r w:rsidRPr="000125AA">
        <w:rPr>
          <w:rFonts w:cs="B Nazanin" w:hint="cs"/>
          <w:sz w:val="28"/>
          <w:szCs w:val="28"/>
          <w:rtl/>
        </w:rPr>
        <w:softHyphen/>
        <w:t xml:space="preserve">دهند، </w:t>
      </w:r>
      <w:r w:rsidRPr="000125AA">
        <w:rPr>
          <w:rFonts w:cs="B Nazanin" w:hint="cs"/>
          <w:sz w:val="28"/>
          <w:szCs w:val="28"/>
          <w:rtl/>
        </w:rPr>
        <w:lastRenderedPageBreak/>
        <w:t>قطعا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بيشتر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جذب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كار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حتي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تداوم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تلاش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نيز بيشتر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شود چرا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باورند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ظرفيت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رسيدن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اهداف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دارند</w:t>
      </w:r>
      <w:r w:rsidRPr="000125AA">
        <w:rPr>
          <w:rFonts w:cs="B Nazanin"/>
          <w:sz w:val="28"/>
          <w:szCs w:val="28"/>
          <w:rtl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علاوه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فرايند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توجه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عناصر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احتمال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زياد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 است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ورزشكار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حوادثي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بايد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كنترل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داشته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باشد،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تمركز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 xml:space="preserve">كند </w:t>
      </w:r>
      <w:r w:rsidRPr="000125AA">
        <w:rPr>
          <w:rFonts w:cs="B Nazanin"/>
          <w:sz w:val="28"/>
          <w:szCs w:val="28"/>
          <w:rtl/>
        </w:rPr>
        <w:t>(</w:t>
      </w:r>
      <w:r w:rsidRPr="000125AA">
        <w:rPr>
          <w:rFonts w:cs="B Nazanin" w:hint="cs"/>
          <w:sz w:val="28"/>
          <w:szCs w:val="28"/>
          <w:rtl/>
        </w:rPr>
        <w:t xml:space="preserve">بندورا، </w:t>
      </w:r>
      <w:r w:rsidRPr="000125AA">
        <w:rPr>
          <w:rFonts w:cs="B Nazanin"/>
          <w:sz w:val="28"/>
          <w:szCs w:val="28"/>
          <w:rtl/>
        </w:rPr>
        <w:t>١٩٩٧</w:t>
      </w:r>
      <w:r w:rsidRPr="000125AA">
        <w:rPr>
          <w:rFonts w:cs="B Nazanin" w:hint="cs"/>
          <w:sz w:val="28"/>
          <w:szCs w:val="28"/>
          <w:rtl/>
        </w:rPr>
        <w:t>؛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چنگ،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هاردي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ماركلند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3"/>
      </w:r>
      <w:r w:rsidRPr="000125AA">
        <w:rPr>
          <w:rFonts w:cs="B Nazanin" w:hint="cs"/>
          <w:sz w:val="28"/>
          <w:szCs w:val="28"/>
          <w:rtl/>
        </w:rPr>
        <w:t>،</w:t>
      </w:r>
      <w:r w:rsidRPr="000125AA">
        <w:rPr>
          <w:rFonts w:cs="B Nazanin"/>
          <w:sz w:val="28"/>
          <w:szCs w:val="28"/>
          <w:rtl/>
        </w:rPr>
        <w:t xml:space="preserve"> ٢٠٠٩</w:t>
      </w:r>
      <w:r w:rsidRPr="000125AA">
        <w:rPr>
          <w:rFonts w:cs="B Nazanin" w:hint="cs"/>
          <w:sz w:val="28"/>
          <w:szCs w:val="28"/>
          <w:rtl/>
        </w:rPr>
        <w:t>؛ كرفت، مگيار، بكر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فلتز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4"/>
      </w:r>
      <w:r w:rsidRPr="000125AA">
        <w:rPr>
          <w:rFonts w:cs="B Nazanin" w:hint="cs"/>
          <w:sz w:val="28"/>
          <w:szCs w:val="28"/>
          <w:rtl/>
        </w:rPr>
        <w:t>،</w:t>
      </w:r>
      <w:r w:rsidRPr="000125AA">
        <w:rPr>
          <w:rFonts w:cs="B Nazanin"/>
          <w:sz w:val="28"/>
          <w:szCs w:val="28"/>
          <w:rtl/>
        </w:rPr>
        <w:t xml:space="preserve"> ٢٠٠٣</w:t>
      </w:r>
      <w:r w:rsidRPr="000125AA">
        <w:rPr>
          <w:rFonts w:cs="B Nazanin" w:hint="cs"/>
          <w:sz w:val="28"/>
          <w:szCs w:val="28"/>
          <w:rtl/>
        </w:rPr>
        <w:t>؛ ملاليو، هانتون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فلچر،</w:t>
      </w:r>
      <w:r w:rsidRPr="000125AA">
        <w:rPr>
          <w:rFonts w:cs="B Nazanin"/>
          <w:sz w:val="28"/>
          <w:szCs w:val="28"/>
          <w:rtl/>
        </w:rPr>
        <w:t xml:space="preserve"> ٢٠٠٦</w:t>
      </w:r>
      <w:r w:rsidRPr="000125AA">
        <w:rPr>
          <w:rFonts w:cs="B Nazanin" w:hint="cs"/>
          <w:sz w:val="28"/>
          <w:szCs w:val="28"/>
          <w:rtl/>
        </w:rPr>
        <w:t>؛ ويلي،</w:t>
      </w:r>
      <w:r w:rsidRPr="000125AA">
        <w:rPr>
          <w:rFonts w:cs="B Nazanin"/>
          <w:sz w:val="28"/>
          <w:szCs w:val="28"/>
          <w:rtl/>
        </w:rPr>
        <w:t xml:space="preserve"> ٢٠٠٩</w:t>
      </w:r>
      <w:r w:rsidRPr="000125AA">
        <w:rPr>
          <w:rFonts w:cs="B Nazanin" w:hint="cs"/>
          <w:sz w:val="28"/>
          <w:szCs w:val="28"/>
          <w:rtl/>
        </w:rPr>
        <w:t>). رفتار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ناظران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رقبا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كمتر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تحت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كنترل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شخص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</w:t>
      </w:r>
      <w:r w:rsidRPr="000125AA">
        <w:rPr>
          <w:rFonts w:cs="B Nazanin"/>
          <w:sz w:val="28"/>
          <w:szCs w:val="28"/>
          <w:rtl/>
        </w:rPr>
        <w:t>.</w:t>
      </w:r>
    </w:p>
    <w:p w:rsidR="002D2FB8" w:rsidRPr="000125AA" w:rsidRDefault="002D2FB8" w:rsidP="002D2FB8">
      <w:p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خودكارآمدي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بالا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باعث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شود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ورزشکاران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سرعت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بيشتري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تأمل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اشتباهات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شكست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هايي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رسيدن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اهداف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دشوار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رخ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دهد،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خلاص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شوند</w:t>
      </w:r>
      <w:r w:rsidRPr="000125AA">
        <w:rPr>
          <w:rFonts w:cs="B Nazanin"/>
          <w:sz w:val="28"/>
          <w:szCs w:val="28"/>
          <w:rtl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بيشتر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مايلند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اشتباهات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عوامل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خارجي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ناپايدار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مانند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بدشانسي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نسبت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كمتر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اثرات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موانع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دانند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قضاوت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طور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سختگيرانه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تنبيهي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نسبت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واكنش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دهند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گيرند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شايد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كمك</w:t>
      </w:r>
      <w:r w:rsidRPr="000125AA">
        <w:rPr>
          <w:rFonts w:cs="B Nazanin" w:hint="cs"/>
          <w:sz w:val="28"/>
          <w:szCs w:val="28"/>
          <w:rtl/>
        </w:rPr>
        <w:softHyphen/>
        <w:t>مربيان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شناسايي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تغيير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عناصر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خاص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باعث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اجراي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ناموفق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قضاوت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عمومی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نسبت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صلاحيت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نمي</w:t>
      </w:r>
      <w:r w:rsidRPr="000125AA">
        <w:rPr>
          <w:rFonts w:cs="B Nazanin" w:hint="cs"/>
          <w:sz w:val="28"/>
          <w:szCs w:val="28"/>
          <w:rtl/>
        </w:rPr>
        <w:softHyphen/>
        <w:t>كنند</w:t>
      </w:r>
      <w:r w:rsidRPr="000125AA">
        <w:rPr>
          <w:rFonts w:cs="B Nazanin"/>
          <w:sz w:val="28"/>
          <w:szCs w:val="28"/>
          <w:rtl/>
        </w:rPr>
        <w:t xml:space="preserve">. </w:t>
      </w:r>
    </w:p>
    <w:p w:rsidR="002D2FB8" w:rsidRPr="000125AA" w:rsidRDefault="002D2FB8" w:rsidP="002D2FB8">
      <w:pPr>
        <w:spacing w:after="0" w:line="360" w:lineRule="auto"/>
        <w:jc w:val="low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زماني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خودكارآمدي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ناپايدار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است، افراد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بيشتر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اشتباهات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تفکر مي</w:t>
      </w:r>
      <w:r w:rsidRPr="000125AA">
        <w:rPr>
          <w:rFonts w:cs="B Nazanin" w:hint="cs"/>
          <w:sz w:val="28"/>
          <w:szCs w:val="28"/>
          <w:rtl/>
        </w:rPr>
        <w:softHyphen/>
        <w:t>كنند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احساس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نسبت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دارند</w:t>
      </w:r>
      <w:r w:rsidRPr="000125AA">
        <w:rPr>
          <w:rFonts w:cs="B Nazanin"/>
          <w:sz w:val="28"/>
          <w:szCs w:val="28"/>
          <w:rtl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همان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گونه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توجه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 سمت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خودقضاوتی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خودواكنشی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دور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 عناصر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معطوف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شود، اجراي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عذاب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آورتر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شود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افراد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فكر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كنند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چه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روز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داشته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شرايط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وفق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مراد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حريفشان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تغيير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كرده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 xml:space="preserve">است </w:t>
      </w:r>
      <w:r w:rsidRPr="000125AA">
        <w:rPr>
          <w:rFonts w:cs="B Nazanin"/>
          <w:sz w:val="28"/>
          <w:szCs w:val="28"/>
          <w:rtl/>
        </w:rPr>
        <w:t>(</w:t>
      </w:r>
      <w:r w:rsidRPr="000125AA">
        <w:rPr>
          <w:rFonts w:cs="B Nazanin" w:hint="cs"/>
          <w:sz w:val="28"/>
          <w:szCs w:val="28"/>
          <w:rtl/>
        </w:rPr>
        <w:t>جونز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هاروود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5"/>
      </w:r>
      <w:r w:rsidRPr="000125AA">
        <w:rPr>
          <w:rFonts w:cs="B Nazanin" w:hint="cs"/>
          <w:sz w:val="28"/>
          <w:szCs w:val="28"/>
          <w:rtl/>
        </w:rPr>
        <w:t xml:space="preserve">، </w:t>
      </w:r>
      <w:r w:rsidRPr="000125AA">
        <w:rPr>
          <w:rFonts w:cs="B Nazanin"/>
          <w:sz w:val="28"/>
          <w:szCs w:val="28"/>
          <w:rtl/>
        </w:rPr>
        <w:t>٢٠٠٨)</w:t>
      </w:r>
      <w:r w:rsidRPr="000125AA">
        <w:rPr>
          <w:rFonts w:cs="B Nazanin" w:hint="cs"/>
          <w:sz w:val="28"/>
          <w:szCs w:val="28"/>
          <w:rtl/>
        </w:rPr>
        <w:t>. توجه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افرادِ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مردد با نگرانی</w:t>
      </w:r>
      <w:r w:rsidRPr="000125AA">
        <w:rPr>
          <w:rFonts w:cs="B Nazanin" w:hint="cs"/>
          <w:sz w:val="28"/>
          <w:szCs w:val="28"/>
          <w:rtl/>
        </w:rPr>
        <w:softHyphen/>
        <w:t>هایی در مورد این</w:t>
      </w:r>
      <w:r w:rsidRPr="000125AA">
        <w:rPr>
          <w:rFonts w:cs="B Nazanin" w:hint="cs"/>
          <w:sz w:val="28"/>
          <w:szCs w:val="28"/>
          <w:rtl/>
        </w:rPr>
        <w:softHyphen/>
        <w:t>که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مناسب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سطح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تکالیف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نيستد،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تسخیر می</w:t>
      </w:r>
      <w:r w:rsidRPr="000125AA">
        <w:rPr>
          <w:rFonts w:cs="B Nazanin" w:hint="cs"/>
          <w:sz w:val="28"/>
          <w:szCs w:val="28"/>
          <w:rtl/>
        </w:rPr>
        <w:softHyphen/>
        <w:t>شود 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ترس</w:t>
      </w:r>
      <w:r w:rsidRPr="000125AA">
        <w:rPr>
          <w:rFonts w:cs="B Nazanin" w:hint="cs"/>
          <w:sz w:val="28"/>
          <w:szCs w:val="28"/>
          <w:rtl/>
        </w:rPr>
        <w:softHyphen/>
        <w:t>هاي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محقق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خواهد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شد</w:t>
      </w:r>
      <w:r w:rsidRPr="000125AA">
        <w:rPr>
          <w:rFonts w:cs="B Nazanin"/>
          <w:sz w:val="28"/>
          <w:szCs w:val="28"/>
        </w:rPr>
        <w:t>.</w:t>
      </w:r>
    </w:p>
    <w:p w:rsidR="002D2FB8" w:rsidRPr="000125AA" w:rsidRDefault="002D2FB8" w:rsidP="002D2FB8">
      <w:pPr>
        <w:spacing w:after="0" w:line="360" w:lineRule="auto"/>
        <w:jc w:val="lowKashida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اثرات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خودكارآمدي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 در تعامل هستند به نحوی که کارآیی کاهش یافته اجرا را تخریب می</w:t>
      </w:r>
      <w:r w:rsidRPr="000125AA">
        <w:rPr>
          <w:rFonts w:cs="B Nazanin" w:hint="cs"/>
          <w:sz w:val="28"/>
          <w:szCs w:val="28"/>
          <w:rtl/>
        </w:rPr>
        <w:softHyphen/>
        <w:t>کند و مشكلاتي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كاهش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كارايي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وجود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آورد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اگر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چرخه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كاهش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 xml:space="preserve">و اثربخشی متوقف نشود، </w:t>
      </w:r>
      <w:r w:rsidRPr="000125AA">
        <w:rPr>
          <w:rFonts w:cs="B Nazanin" w:hint="cs"/>
          <w:sz w:val="28"/>
          <w:szCs w:val="28"/>
          <w:rtl/>
        </w:rPr>
        <w:lastRenderedPageBreak/>
        <w:t>کیفیت عملکرد به سرعت به صفر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رسد (لیندزلی، براس و توماس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6"/>
      </w:r>
      <w:r w:rsidRPr="000125AA">
        <w:rPr>
          <w:rFonts w:cs="B Nazanin" w:hint="cs"/>
          <w:sz w:val="28"/>
          <w:szCs w:val="28"/>
          <w:rtl/>
        </w:rPr>
        <w:t>، 1995). هنگامی که این تمرکز بر اشتباهات یک عملکرد واحد را گسترش دهد، فرد ممکن است به این باور برسد که در حال رکود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7"/>
      </w:r>
      <w:r w:rsidRPr="000125AA">
        <w:rPr>
          <w:rFonts w:cs="B Nazanin" w:hint="cs"/>
          <w:sz w:val="28"/>
          <w:szCs w:val="28"/>
          <w:rtl/>
        </w:rPr>
        <w:t xml:space="preserve">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باشد. رکود شامل یک دوره از عملکرد ورزشی غیراستاندارد است که در آن هیچ توضیح آماده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ای وجود ندارد (تیلور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8"/>
      </w:r>
      <w:r w:rsidRPr="000125AA">
        <w:rPr>
          <w:rFonts w:cs="B Nazanin" w:hint="cs"/>
          <w:sz w:val="28"/>
          <w:szCs w:val="28"/>
          <w:rtl/>
        </w:rPr>
        <w:t>، 1988).</w:t>
      </w:r>
    </w:p>
    <w:p w:rsidR="002D2FB8" w:rsidRPr="000125AA" w:rsidRDefault="002D2FB8" w:rsidP="002D2FB8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125AA">
        <w:rPr>
          <w:rFonts w:cs="B Nazanin" w:hint="cs"/>
          <w:b/>
          <w:bCs/>
          <w:sz w:val="28"/>
          <w:szCs w:val="28"/>
          <w:rtl/>
        </w:rPr>
        <w:t>کاربرد</w:t>
      </w:r>
    </w:p>
    <w:p w:rsidR="002D2FB8" w:rsidRPr="000125AA" w:rsidRDefault="002D2FB8" w:rsidP="002D2FB8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ورزشکاران کارآمد برای هر نوع نگرانی از نتایج  و قدرت رقبا یک پاسخ ساده دارند: " که چی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29"/>
      </w:r>
      <w:r w:rsidRPr="000125AA">
        <w:rPr>
          <w:rFonts w:cs="B Nazanin" w:hint="cs"/>
          <w:sz w:val="28"/>
          <w:szCs w:val="28"/>
          <w:rtl/>
        </w:rPr>
        <w:t>!"</w:t>
      </w:r>
    </w:p>
    <w:p w:rsidR="002D2FB8" w:rsidRPr="000125AA" w:rsidRDefault="002D2FB8" w:rsidP="002D2FB8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عملکرد ورزشکارانی که اعتماد به نفس ندارند دقیقاً شبیه آنهایی است که از لحاظ ذهنی یا جسمی درگیر چالش نیستند. هنگامی که آنها مشغول انجام تکالیف متفرقه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شوند، رفتارهایی از قبیل تعویق، رویا پردازی، افکار منفی و نارضایتی از خود را بروز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دهند، در واقع زمانی که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توانست صرف تمرین فرد، آمادگی جسمانی و ذهنی شود، از بین رفته است. آموزش نکات مثبت و خودگفتاری انگیزشی، خودکارآمدی و کیفیت عملکرد را افزایش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دهد (هتزیجئورجیادیس و همکاران، 2008). به عنوان مثال، تنیسورهای ماهر و نوجوان یونانی زمانی که آشکارا یا پنهانی از عبارات و کلماتی مثل "من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توانم"، "قوی"، "بیا برویم" یا "درک کردم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30"/>
      </w:r>
      <w:r w:rsidRPr="000125AA">
        <w:rPr>
          <w:rFonts w:cs="B Nazanin" w:hint="cs"/>
          <w:sz w:val="28"/>
          <w:szCs w:val="28"/>
          <w:rtl/>
        </w:rPr>
        <w:t>" طی ضربه استفاده کردند، توانستند دقت و عمق ضربات را بهبود بخشند.</w:t>
      </w:r>
    </w:p>
    <w:p w:rsidR="002D2FB8" w:rsidRPr="000125AA" w:rsidRDefault="002D2FB8" w:rsidP="002D2FB8">
      <w:pPr>
        <w:spacing w:before="100" w:beforeAutospacing="1" w:after="0" w:line="360" w:lineRule="auto"/>
        <w:rPr>
          <w:rFonts w:cs="B Nazanin"/>
          <w:b/>
          <w:bCs/>
          <w:sz w:val="28"/>
          <w:szCs w:val="28"/>
          <w:rtl/>
        </w:rPr>
      </w:pPr>
      <w:r w:rsidRPr="000125AA">
        <w:rPr>
          <w:rFonts w:cs="B Nazanin" w:hint="cs"/>
          <w:b/>
          <w:bCs/>
          <w:sz w:val="28"/>
          <w:szCs w:val="28"/>
          <w:rtl/>
        </w:rPr>
        <w:t>خلاص شدن از تداخل شناختی</w:t>
      </w:r>
    </w:p>
    <w:p w:rsidR="002D2FB8" w:rsidRPr="000125AA" w:rsidRDefault="002D2FB8" w:rsidP="002D2FB8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ممکن است خلاصی از چرخه تداخل شناختی موقع اجرا سخت باشد.</w:t>
      </w:r>
      <w:r w:rsidRPr="000125AA">
        <w:rPr>
          <w:rFonts w:cs="B Nazanin"/>
          <w:sz w:val="28"/>
          <w:szCs w:val="28"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برای انجام این کار نیاز به یک وقفه در روند ارزیابی انتقادی فرد و یک بازگشت توجه به زمان حال مسابقه داریم</w:t>
      </w:r>
      <w:r w:rsidRPr="000125AA">
        <w:rPr>
          <w:rFonts w:cs="B Nazanin"/>
          <w:sz w:val="28"/>
          <w:szCs w:val="28"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(زینسر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31"/>
      </w:r>
      <w:r w:rsidRPr="000125AA">
        <w:rPr>
          <w:rFonts w:cs="B Nazanin" w:hint="cs"/>
          <w:sz w:val="28"/>
          <w:szCs w:val="28"/>
          <w:rtl/>
        </w:rPr>
        <w:t>، بونکر و ویلیامز، 2006). آماده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سازی پیچیده</w:t>
      </w:r>
      <w:r w:rsidRPr="000125AA">
        <w:rPr>
          <w:rFonts w:cs="B Nazanin" w:hint="cs"/>
          <w:sz w:val="28"/>
          <w:szCs w:val="28"/>
          <w:rtl/>
          <w:lang w:val="en-ZW"/>
        </w:rPr>
        <w:t xml:space="preserve"> برای اجراها،</w:t>
      </w:r>
      <w:r w:rsidRPr="000125AA">
        <w:rPr>
          <w:rFonts w:cs="B Nazanin" w:hint="cs"/>
          <w:sz w:val="28"/>
          <w:szCs w:val="28"/>
          <w:rtl/>
        </w:rPr>
        <w:t xml:space="preserve"> احتمالاً باید شامل تکنیک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ها یا کلمات کلیدی برای قطع یا وقفه در اجراهایی </w:t>
      </w:r>
      <w:r w:rsidRPr="000125AA">
        <w:rPr>
          <w:rFonts w:cs="B Nazanin" w:hint="cs"/>
          <w:sz w:val="28"/>
          <w:szCs w:val="28"/>
          <w:rtl/>
        </w:rPr>
        <w:lastRenderedPageBreak/>
        <w:t>که در حال خراب شدن هستند، باشد. برای مثال، ورزشکاران ممکن است سرعت خود را بین قسمت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مختلف اجرا کم کنند، از حالت تمرکز بحرانی خود آگاه شوند و توجه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 را به سمت زمان کنونی معطوف کنند. خودگفتاری و کلمات نشانه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 طی تمرینات بدنی و ذهنی و آماده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سازی اجرا مرور شوند و زمانی که تداخل شناختی رخ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دهد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توانند در طول اجرا برای حفظ تمرکز و پرت کردن حواس تکرار شوند ("تولید ریتم ذهنی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تان را توسعه دهید،" 1989). به عنوان مثال، واژه پیش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بینی ممکن است یک کلمه نشانه برای حفظ توجه باشد. این کلمه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 به بازیکن برای پیش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بینی عکس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العمل رقیب و پاسخ به موقع کمک کرده و طرح و نقشه بازی خودشان را به دست آورند. به طور کلی، کلمات نشانه، توجه را به پردازش اجرا معطوف ساخته و از توجه به نتایج دور می</w:t>
      </w:r>
      <w:r w:rsidRPr="000125AA">
        <w:rPr>
          <w:rFonts w:cs="B Nazanin" w:hint="cs"/>
          <w:sz w:val="28"/>
          <w:szCs w:val="28"/>
          <w:rtl/>
        </w:rPr>
        <w:softHyphen/>
        <w:t>سازند. کلمات نشانه باید مختصر بوده و تلفظ آنها آسان باشد و تعداد کلمات آنها باید حداقل ممکن باشد (لندین و هبرت، 1999). خودگفتاری یا نوشتن یادداشت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 به عنوان یادآوری</w:t>
      </w:r>
      <w:r w:rsidRPr="000125AA">
        <w:rPr>
          <w:rFonts w:cs="B Nazanin" w:hint="cs"/>
          <w:sz w:val="28"/>
          <w:szCs w:val="28"/>
          <w:rtl/>
        </w:rPr>
        <w:softHyphen/>
        <w:t>های عناصر کلیدی برای اجرای موفقیت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آمیز تلقی شوند.</w:t>
      </w:r>
    </w:p>
    <w:p w:rsidR="002D2FB8" w:rsidRPr="000125AA" w:rsidRDefault="002D2FB8" w:rsidP="002D2FB8">
      <w:pPr>
        <w:spacing w:before="100" w:beforeAutospacing="1"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125AA">
        <w:rPr>
          <w:rFonts w:cs="B Nazanin" w:hint="cs"/>
          <w:b/>
          <w:bCs/>
          <w:sz w:val="28"/>
          <w:szCs w:val="28"/>
          <w:rtl/>
        </w:rPr>
        <w:t>کاربرد</w:t>
      </w:r>
    </w:p>
    <w:p w:rsidR="002D2FB8" w:rsidRPr="000125AA" w:rsidRDefault="002D2FB8" w:rsidP="002D2FB8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زمانی که ورزشکاران تمرکزشان را از دست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دهند، توجه آنها اغلب از پایین به بالا کنترل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شود. عوامل حواس</w:t>
      </w:r>
      <w:r w:rsidRPr="000125AA">
        <w:rPr>
          <w:rFonts w:cs="B Nazanin" w:hint="cs"/>
          <w:sz w:val="28"/>
          <w:szCs w:val="28"/>
          <w:rtl/>
        </w:rPr>
        <w:softHyphen/>
        <w:t>پرتی داخلی و خارجی، حافظه کاری را تسخیر کرده و آنها قادر نیستند به آن دسترسی داشته باشند و در معرض برنامه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در حال اقدام</w:t>
      </w:r>
      <w:r w:rsidRPr="000125AA">
        <w:rPr>
          <w:rFonts w:cs="B Nazanin" w:hint="cs"/>
          <w:sz w:val="28"/>
          <w:szCs w:val="28"/>
          <w:rtl/>
        </w:rPr>
        <w:softHyphen/>
        <w:t>شان قرار گیرد. زمانی که توجه از بالا به پایین -بر مبنای برنامه بازی- مسیردهی شود، نتایج عموماً دلخواه هستند. برای تمرکز از بالا به پایین انعطاف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ناپذیری لازم نیست، چنانچه تاکتیک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جایگزین ممکن است جایگزین طرح یا برنامه بازی که به خوبی عمل نمی</w:t>
      </w:r>
      <w:r w:rsidRPr="000125AA">
        <w:rPr>
          <w:rFonts w:cs="B Nazanin" w:hint="cs"/>
          <w:sz w:val="28"/>
          <w:szCs w:val="28"/>
          <w:rtl/>
        </w:rPr>
        <w:softHyphen/>
        <w:t>کند، شود. تمرکز از بالا به پایین، تخصیص بهینه منابع را به نشانه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برجسته خروجی تسهیل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کند. به عنوان مثال، رقبا ممکن است راهبردها یا برنامه بازی را برای یافتن یک سرنخ یا نشانه موشکافی کنند. </w:t>
      </w:r>
    </w:p>
    <w:p w:rsidR="002D2FB8" w:rsidRPr="000125AA" w:rsidRDefault="002D2FB8" w:rsidP="002D2FB8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lastRenderedPageBreak/>
        <w:t>ورزشکاران هم چنین به خودگفتاری منفی با یادآوری این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که شرایط دشوار به همان اندازه برای رقبایشان دشوار است، جواب مؤثر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دهند (هایس، توماس، ماینارد و باودن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32"/>
      </w:r>
      <w:r w:rsidRPr="000125AA">
        <w:rPr>
          <w:rFonts w:cs="B Nazanin" w:hint="cs"/>
          <w:sz w:val="28"/>
          <w:szCs w:val="28"/>
          <w:rtl/>
        </w:rPr>
        <w:t>، 2009؛ سویین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33"/>
      </w:r>
      <w:r w:rsidRPr="000125AA">
        <w:rPr>
          <w:rFonts w:cs="B Nazanin" w:hint="cs"/>
          <w:sz w:val="28"/>
          <w:szCs w:val="28"/>
          <w:rtl/>
        </w:rPr>
        <w:t>، 1986)</w:t>
      </w:r>
      <w:r w:rsidRPr="000125AA">
        <w:rPr>
          <w:rFonts w:cs="B Nazanin" w:hint="cs"/>
          <w:sz w:val="28"/>
          <w:szCs w:val="28"/>
          <w:rtl/>
          <w:lang w:val="en-ZW"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برای مثال، در مسابقات آزاد تنیس نیمه نهایی ایالات متحده در سال 1999، مارتینا هینگیس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34"/>
      </w:r>
      <w:r w:rsidRPr="000125AA">
        <w:rPr>
          <w:rFonts w:cs="B Nazanin" w:hint="cs"/>
          <w:sz w:val="28"/>
          <w:szCs w:val="28"/>
          <w:rtl/>
        </w:rPr>
        <w:t xml:space="preserve"> بسیار خسته بود و در ست سوم با از دست دادن ضربه سرویس خود، 3 به 2 عقب افتاد. وی بازی خود را با استفی گراف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35"/>
      </w:r>
      <w:r w:rsidRPr="000125AA">
        <w:rPr>
          <w:rFonts w:cs="B Nazanin" w:hint="cs"/>
          <w:sz w:val="28"/>
          <w:szCs w:val="28"/>
          <w:rtl/>
        </w:rPr>
        <w:t xml:space="preserve"> به یاد آورد که دربرگیرنده تصویری از شرایط ایده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آل و بی عیب و نقص و همراه با آرامش و خونسردی بود. او شروع به گفتگو با خود کرد: "او نیز باید دچار گرفتگی عضلانی شده باشد. او نمی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 خیلی سرحال باشد. این عامل ما را مساوی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کند. آن یک بازی روانی است" (جاکوبس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36"/>
      </w:r>
      <w:r w:rsidRPr="000125AA">
        <w:rPr>
          <w:rFonts w:cs="B Nazanin" w:hint="cs"/>
          <w:sz w:val="28"/>
          <w:szCs w:val="28"/>
          <w:rtl/>
        </w:rPr>
        <w:t>، 11 سپتامبر 1999). هین</w:t>
      </w:r>
      <w:r w:rsidRPr="000125AA">
        <w:rPr>
          <w:rFonts w:cs="B Nazanin" w:hint="cs"/>
          <w:sz w:val="28"/>
          <w:szCs w:val="28"/>
          <w:rtl/>
          <w:lang w:val="en-ZW"/>
        </w:rPr>
        <w:t>گی</w:t>
      </w:r>
      <w:r w:rsidRPr="000125AA">
        <w:rPr>
          <w:rFonts w:cs="B Nazanin" w:hint="cs"/>
          <w:sz w:val="28"/>
          <w:szCs w:val="28"/>
          <w:rtl/>
        </w:rPr>
        <w:t>س، ونوس ویلیامز را با نتایج 6-1 ، 4-4 و 6-3 برد. ورزشکارانی که طی رقابت در حال باخت هستند ممکن است خودگفتاری منفی را با یادآوری این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که رقبای آنها بعید است که در کل مسابقات عملکرد بی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 عیبی داشته باشند، تلافی کنند و آنها ممکن است از فرصت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هایی برای پرداختن به اشتباهات حریفان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 استفاده کنند (ویلیامز و آندروود</w:t>
      </w:r>
      <w:r w:rsidRPr="000125AA">
        <w:rPr>
          <w:rStyle w:val="FootnoteReference"/>
          <w:rFonts w:cs="B Nazanin"/>
          <w:sz w:val="28"/>
          <w:szCs w:val="28"/>
          <w:rtl/>
        </w:rPr>
        <w:footnoteReference w:id="37"/>
      </w:r>
      <w:r w:rsidRPr="000125AA">
        <w:rPr>
          <w:rFonts w:cs="B Nazanin" w:hint="cs"/>
          <w:sz w:val="28"/>
          <w:szCs w:val="28"/>
          <w:rtl/>
        </w:rPr>
        <w:t>، 1970). همان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طور که در فصل 5 ذکر شد، آماده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سازی دقیق گاهی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 اوقات شامل ایجاد یک طرح "</w:t>
      </w:r>
      <w:r w:rsidRPr="000125AA">
        <w:rPr>
          <w:rFonts w:cs="B Nazanin"/>
          <w:sz w:val="28"/>
          <w:szCs w:val="28"/>
        </w:rPr>
        <w:t>B</w:t>
      </w:r>
      <w:r w:rsidRPr="000125AA">
        <w:rPr>
          <w:rFonts w:cs="B Nazanin" w:hint="cs"/>
          <w:sz w:val="28"/>
          <w:szCs w:val="28"/>
          <w:rtl/>
        </w:rPr>
        <w:t>" یا نقشه جایگزین برای مسابقه است برای زمانی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که طرح اولیه بازی نتواند نتایج دلخواه را برای تیم به ارمغان بیاورد. با یک طرح"</w:t>
      </w:r>
      <w:r w:rsidRPr="000125AA">
        <w:rPr>
          <w:rFonts w:cs="B Nazanin"/>
          <w:sz w:val="28"/>
          <w:szCs w:val="28"/>
        </w:rPr>
        <w:t>B</w:t>
      </w:r>
      <w:r w:rsidRPr="000125AA">
        <w:rPr>
          <w:rFonts w:cs="B Nazanin" w:hint="cs"/>
          <w:sz w:val="28"/>
          <w:szCs w:val="28"/>
          <w:rtl/>
        </w:rPr>
        <w:t>" ورزشکاران علاقه بیشتری به حفظ باورهای خود مبنی بر کنترل نتیجه مسابقات دارند و کمتر به تجربه تداخل شناختی و اضطراب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ناتوان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کننده دچار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شوند.</w:t>
      </w:r>
    </w:p>
    <w:p w:rsidR="002D2FB8" w:rsidRPr="000125AA" w:rsidRDefault="002D2FB8" w:rsidP="002D2FB8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اگر ورزشکاران برای تسهیل عملکردشان اضطراب فیزیولوژیکی و شناختی را درک کنند،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توانند اثرات و علائم آنها را در عملکردشان کاهش دهند (هاردی و همکاران، 1996؛ ویلیامز و همکاران، 2010) و یا این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که حداقل واکنش مورد انتظار به عوامل استرس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زا را تفسیر و عوامل مسدودکننده را برجسته نکنند، در غیر این صورت عملکرد سریعاً رو به زوال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رود. همان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طور که در تمام این متن تأکید شده است، آماده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 xml:space="preserve">سازی دقیق و جامع با </w:t>
      </w:r>
      <w:r w:rsidRPr="000125AA">
        <w:rPr>
          <w:rFonts w:cs="B Nazanin" w:hint="cs"/>
          <w:sz w:val="28"/>
          <w:szCs w:val="28"/>
          <w:rtl/>
        </w:rPr>
        <w:lastRenderedPageBreak/>
        <w:t>عملکرد مطلوب رابطه مستقیم دارد. به عنوان مثال، اگر شناگران ماهر از روتین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قبل از رقابت که شامل هدف</w:t>
      </w:r>
      <w:r w:rsidRPr="000125AA">
        <w:rPr>
          <w:rFonts w:cs="B Nazanin" w:hint="cs"/>
          <w:sz w:val="28"/>
          <w:szCs w:val="28"/>
          <w:rtl/>
        </w:rPr>
        <w:softHyphen/>
        <w:t>گزینی، تصویرسازی و خودگفتاری است، پیروی کنند، اضطراب و اثرات آن را به عنوان یک عامل تسهیل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کننده عملکرد تفسیر خواهند کرد (هانتون و جونز، 1999الف و 1999ب).</w:t>
      </w:r>
    </w:p>
    <w:p w:rsidR="002D2FB8" w:rsidRPr="000125AA" w:rsidRDefault="002D2FB8" w:rsidP="002D2FB8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همان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طور که قبلاً ذکر شد، افراد در صورتی که آموزش تلقینی و مستقیم از اضطراب دریافت کرده باشند که اضطراب عموماً همراه با اجراها وجود دارد،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توانند علائم اضطراب را بی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خطر تفسیرکنند. یک آموزش</w:t>
      </w:r>
      <w:r w:rsidRPr="000125AA">
        <w:rPr>
          <w:rFonts w:cs="B Nazanin" w:hint="cs"/>
          <w:sz w:val="28"/>
          <w:szCs w:val="28"/>
          <w:rtl/>
        </w:rPr>
        <w:softHyphen/>
        <w:t>دهنده، مربی یا یک بازیکن با تجربه که سابقه حضور در آن موقعیت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 را دارد یا واکنش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مشابهی را قبل و طی عملکردهایش تجربه کرده است،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 مشاوره لازم را به ورزشکار یادگیرنده بدهد.</w:t>
      </w:r>
    </w:p>
    <w:p w:rsidR="002D2FB8" w:rsidRPr="000125AA" w:rsidRDefault="002D2FB8" w:rsidP="002D2FB8">
      <w:pPr>
        <w:spacing w:after="0" w:line="360" w:lineRule="auto"/>
        <w:jc w:val="both"/>
        <w:rPr>
          <w:rFonts w:cs="B Nazanin"/>
          <w:sz w:val="28"/>
          <w:szCs w:val="28"/>
        </w:rPr>
      </w:pPr>
      <w:r w:rsidRPr="000125AA">
        <w:rPr>
          <w:rFonts w:cs="B Nazanin" w:hint="cs"/>
          <w:sz w:val="28"/>
          <w:szCs w:val="28"/>
          <w:rtl/>
        </w:rPr>
        <w:t>افرادی که مزیت مشاوره یا هدایت در مورد تفسیر نشانه</w:t>
      </w:r>
      <w:r w:rsidRPr="000125AA">
        <w:rPr>
          <w:rFonts w:cs="B Nazanin" w:hint="cs"/>
          <w:sz w:val="28"/>
          <w:szCs w:val="28"/>
          <w:rtl/>
        </w:rPr>
        <w:softHyphen/>
        <w:t>های اضطراب را به عنوان یک عامل تسهیل</w:t>
      </w:r>
      <w:r w:rsidRPr="000125AA">
        <w:rPr>
          <w:rFonts w:cs="B Nazanin" w:hint="cs"/>
          <w:sz w:val="28"/>
          <w:szCs w:val="28"/>
          <w:rtl/>
        </w:rPr>
        <w:softHyphen/>
        <w:t>کننده ندارند، می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توانند از مداخله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روان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شناختی بهره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مند شوند. برای مثال، هانتون و جونز (1999ب) مداخله</w:t>
      </w:r>
      <w:r w:rsidRPr="000125AA">
        <w:rPr>
          <w:rFonts w:cs="B Nazanin" w:hint="cs"/>
          <w:sz w:val="28"/>
          <w:szCs w:val="28"/>
          <w:rtl/>
        </w:rPr>
        <w:softHyphen/>
        <w:t>ای بر روی شناکران نخبه انجام دادند که اضطراب شناختی و بدنی را به عنوان یک عامل ناتوان</w:t>
      </w:r>
      <w:r w:rsidRPr="000125AA">
        <w:rPr>
          <w:rFonts w:cs="B Nazanin" w:hint="cs"/>
          <w:sz w:val="28"/>
          <w:szCs w:val="28"/>
          <w:rtl/>
        </w:rPr>
        <w:softHyphen/>
        <w:t>کنند تفسیر می</w:t>
      </w:r>
      <w:r w:rsidRPr="000125AA">
        <w:rPr>
          <w:rFonts w:cs="B Nazanin" w:hint="cs"/>
          <w:sz w:val="28"/>
          <w:szCs w:val="28"/>
          <w:rtl/>
        </w:rPr>
        <w:softHyphen/>
        <w:t>کردند. برای شناگران،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آموزش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در مورد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هدف</w:t>
      </w:r>
      <w:r w:rsidRPr="000125AA">
        <w:rPr>
          <w:rFonts w:cs="B Nazanin" w:hint="cs"/>
          <w:sz w:val="28"/>
          <w:szCs w:val="28"/>
          <w:rtl/>
        </w:rPr>
        <w:softHyphen/>
        <w:t>گزینی، تصويرسازي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ذهني، رژيم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قبل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اجرا، تفكر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خودگفتاري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مثبت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خودگفتاري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كلمات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نشانه یادآوری</w:t>
      </w:r>
      <w:r w:rsidRPr="000125AA">
        <w:rPr>
          <w:rFonts w:cs="B Nazanin" w:hint="cs"/>
          <w:sz w:val="28"/>
          <w:szCs w:val="28"/>
          <w:rtl/>
        </w:rPr>
        <w:softHyphen/>
        <w:t>کننده فراهم شد. 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شناختي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بدنی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شناگران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كاهش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نيافت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اما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طريق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گرفتند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جهت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تسهيل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كار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ببرند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باعث بهبود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شنا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شناگران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بهبود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اعتماد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نفس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احتمالاً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 خاطر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 w:hint="cs"/>
          <w:sz w:val="28"/>
          <w:szCs w:val="28"/>
          <w:rtl/>
        </w:rPr>
        <w:softHyphen/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احساس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راحتي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بيشتري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افکار واكنش</w:t>
      </w:r>
      <w:r w:rsidRPr="000125AA">
        <w:rPr>
          <w:rFonts w:cs="B Nazanin" w:hint="cs"/>
          <w:sz w:val="28"/>
          <w:szCs w:val="28"/>
          <w:rtl/>
        </w:rPr>
        <w:softHyphen/>
        <w:t>هاي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بدنی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قبل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رقابت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داشتند، گزارش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دادند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روش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ديگر،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بهبود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اعتماد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نفس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شناگران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 دليل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واقع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سريع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مداخلات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رواني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اقدام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كردند</w:t>
      </w:r>
      <w:r w:rsidRPr="000125AA">
        <w:rPr>
          <w:rFonts w:cs="B Nazanin"/>
          <w:sz w:val="28"/>
          <w:szCs w:val="28"/>
          <w:rtl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ورزشكاران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ممكن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قادر نباشدند خودشان را از پروانه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های درون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معده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شان برهانند،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اما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درك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عنوان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تسهيل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كننده، توانستند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عامل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اوج</w:t>
      </w:r>
      <w:r w:rsidRPr="000125AA">
        <w:rPr>
          <w:rFonts w:cs="B Nazanin" w:hint="cs"/>
          <w:sz w:val="28"/>
          <w:szCs w:val="28"/>
          <w:rtl/>
        </w:rPr>
        <w:softHyphen/>
        <w:t>گيري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حركت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استفاده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 xml:space="preserve">كنند </w:t>
      </w:r>
      <w:r w:rsidRPr="000125AA">
        <w:rPr>
          <w:rFonts w:cs="B Nazanin"/>
          <w:sz w:val="28"/>
          <w:szCs w:val="28"/>
          <w:rtl/>
        </w:rPr>
        <w:t>(</w:t>
      </w:r>
      <w:r w:rsidRPr="000125AA">
        <w:rPr>
          <w:rFonts w:cs="B Nazanin" w:hint="cs"/>
          <w:sz w:val="28"/>
          <w:szCs w:val="28"/>
          <w:rtl/>
        </w:rPr>
        <w:t>هانتون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 xml:space="preserve">،جونز، </w:t>
      </w:r>
      <w:r w:rsidRPr="000125AA">
        <w:rPr>
          <w:rFonts w:cs="B Nazanin"/>
          <w:sz w:val="28"/>
          <w:szCs w:val="28"/>
          <w:rtl/>
        </w:rPr>
        <w:t>١٩٩٩</w:t>
      </w:r>
      <w:r w:rsidRPr="000125AA">
        <w:rPr>
          <w:rFonts w:cs="B Nazanin" w:hint="cs"/>
          <w:sz w:val="28"/>
          <w:szCs w:val="28"/>
          <w:rtl/>
        </w:rPr>
        <w:t>الف، ص. 19).</w:t>
      </w:r>
    </w:p>
    <w:p w:rsidR="002D2FB8" w:rsidRDefault="002D2FB8" w:rsidP="002D2FB8">
      <w:pPr>
        <w:spacing w:before="100" w:beforeAutospacing="1"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2D2FB8" w:rsidRDefault="002D2FB8" w:rsidP="002D2FB8">
      <w:pPr>
        <w:spacing w:before="100" w:beforeAutospacing="1"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2D2FB8" w:rsidRPr="000125AA" w:rsidRDefault="002D2FB8" w:rsidP="002D2FB8">
      <w:pPr>
        <w:spacing w:before="100" w:beforeAutospacing="1" w:after="0" w:line="360" w:lineRule="auto"/>
        <w:jc w:val="center"/>
        <w:rPr>
          <w:rFonts w:cs="B Nazanin"/>
          <w:b/>
          <w:bCs/>
          <w:sz w:val="28"/>
          <w:szCs w:val="28"/>
        </w:rPr>
      </w:pPr>
      <w:r w:rsidRPr="000125AA">
        <w:rPr>
          <w:rFonts w:cs="B Nazanin" w:hint="cs"/>
          <w:b/>
          <w:bCs/>
          <w:sz w:val="28"/>
          <w:szCs w:val="28"/>
          <w:rtl/>
        </w:rPr>
        <w:lastRenderedPageBreak/>
        <w:t>كاربرد</w:t>
      </w:r>
    </w:p>
    <w:p w:rsidR="002D2FB8" w:rsidRPr="000125AA" w:rsidRDefault="002D2FB8" w:rsidP="002D2FB8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جاي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تعجب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نيست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اغلب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منابع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اجتناب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/>
          <w:sz w:val="28"/>
          <w:szCs w:val="28"/>
        </w:rPr>
        <w:softHyphen/>
      </w:r>
      <w:r w:rsidRPr="000125AA">
        <w:rPr>
          <w:rFonts w:cs="B Nazanin" w:hint="cs"/>
          <w:sz w:val="28"/>
          <w:szCs w:val="28"/>
          <w:rtl/>
        </w:rPr>
        <w:t>كنيم،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اگرچه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زماني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شكل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گيرد،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استراتژي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 است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</w:t>
      </w:r>
      <w:r w:rsidRPr="000125AA">
        <w:rPr>
          <w:rFonts w:cs="B Nazanin"/>
          <w:sz w:val="28"/>
          <w:szCs w:val="28"/>
          <w:rtl/>
        </w:rPr>
        <w:t xml:space="preserve"> ‏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عنوان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ابزاري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سودمند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استفاده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كنيم</w:t>
      </w:r>
      <w:r w:rsidRPr="000125AA">
        <w:rPr>
          <w:rFonts w:cs="B Nazanin"/>
          <w:sz w:val="28"/>
          <w:szCs w:val="28"/>
          <w:rtl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مگر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كه، جريان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مسابقه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نتواند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اجتناب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كند. هنگامي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ورزشكاران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نگرانی</w:t>
      </w:r>
      <w:r w:rsidRPr="000125AA">
        <w:rPr>
          <w:rFonts w:cs="B Nazanin" w:hint="cs"/>
          <w:sz w:val="28"/>
          <w:szCs w:val="28"/>
          <w:rtl/>
        </w:rPr>
        <w:softHyphen/>
        <w:t>های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درباره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 آینده،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اجتناب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كنند،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فرصت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مقابله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ايجاد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راه</w:t>
      </w:r>
      <w:r w:rsidRPr="000125AA">
        <w:rPr>
          <w:rFonts w:cs="B Nazanin" w:hint="cs"/>
          <w:sz w:val="28"/>
          <w:szCs w:val="28"/>
          <w:rtl/>
        </w:rPr>
        <w:softHyphen/>
        <w:t>حل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مثلاً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نگراني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شكست، 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دهند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ممكن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تجسم، خودگفتاري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بررسي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كامل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برنامه</w:t>
      </w:r>
      <w:r w:rsidRPr="000125AA">
        <w:rPr>
          <w:rFonts w:cs="B Nazanin" w:hint="cs"/>
          <w:sz w:val="28"/>
          <w:szCs w:val="28"/>
          <w:rtl/>
        </w:rPr>
        <w:softHyphen/>
        <w:t>هاي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بازي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نيز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توجهي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نكنند</w:t>
      </w:r>
      <w:r w:rsidRPr="000125AA">
        <w:rPr>
          <w:rFonts w:cs="B Nazanin"/>
          <w:sz w:val="28"/>
          <w:szCs w:val="28"/>
          <w:rtl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</w:t>
      </w:r>
    </w:p>
    <w:p w:rsidR="002D2FB8" w:rsidRPr="000125AA" w:rsidRDefault="002D2FB8" w:rsidP="002D2FB8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بهتر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 ورزشكاران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توصيه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طور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مستقيم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منابع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مقابله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كنند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برای مثال،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ورود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زودهنگام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محل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رقابت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اجازه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دهد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تداخل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شناختي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ذهن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بيايند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پس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تواند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طور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مستقيم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مديريت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حل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فصل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شود</w:t>
      </w:r>
      <w:r w:rsidRPr="000125AA">
        <w:rPr>
          <w:rFonts w:cs="B Nazanin"/>
          <w:sz w:val="28"/>
          <w:szCs w:val="28"/>
          <w:rtl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شايد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مشورت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مربيان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كمك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عنوان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مثال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ترس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مداوم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شكست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تواند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شناسايي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عنوان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يك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عنصر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كليدي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تمركز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لحظات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رقابت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استفاده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شود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حواس</w:t>
      </w:r>
      <w:r w:rsidRPr="000125AA">
        <w:rPr>
          <w:rFonts w:cs="B Nazanin" w:hint="cs"/>
          <w:sz w:val="28"/>
          <w:szCs w:val="28"/>
          <w:rtl/>
        </w:rPr>
        <w:softHyphen/>
        <w:t>پرتی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رقبا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جمعيت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تواند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پيش</w:t>
      </w:r>
      <w:r w:rsidRPr="000125AA">
        <w:rPr>
          <w:rFonts w:cs="B Nazanin" w:hint="cs"/>
          <w:sz w:val="28"/>
          <w:szCs w:val="28"/>
          <w:rtl/>
        </w:rPr>
        <w:softHyphen/>
        <w:t>بيني شده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عنوان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يك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يادآور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جهت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تمركز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يك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طرح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استفاده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شود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ورزشكاران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ممكن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زماني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موفقيت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مكاني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خاصي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رسند،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افزايش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انگیختگی یا 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فيزيولوژيكي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تجربه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كرده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شروع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مديريت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انگیختگی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مناسب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سطوح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انگیختگی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نمايند</w:t>
      </w:r>
      <w:r w:rsidRPr="000125AA">
        <w:rPr>
          <w:rFonts w:cs="B Nazanin"/>
          <w:sz w:val="28"/>
          <w:szCs w:val="28"/>
          <w:rtl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</w:t>
      </w:r>
    </w:p>
    <w:p w:rsidR="002D2FB8" w:rsidRPr="000125AA" w:rsidRDefault="002D2FB8" w:rsidP="002D2FB8">
      <w:p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0125AA">
        <w:rPr>
          <w:rFonts w:cs="B Nazanin" w:hint="cs"/>
          <w:sz w:val="28"/>
          <w:szCs w:val="28"/>
          <w:rtl/>
        </w:rPr>
        <w:t>پديده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تمایل به پراکنده شدن در هر زمان دارد</w:t>
      </w:r>
      <w:r w:rsidRPr="000125AA">
        <w:rPr>
          <w:rFonts w:cs="B Nazanin"/>
          <w:sz w:val="28"/>
          <w:szCs w:val="28"/>
          <w:rtl/>
        </w:rPr>
        <w:t>.</w:t>
      </w:r>
      <w:r w:rsidRPr="000125AA">
        <w:rPr>
          <w:rFonts w:cs="B Nazanin" w:hint="cs"/>
          <w:sz w:val="28"/>
          <w:szCs w:val="28"/>
          <w:rtl/>
        </w:rPr>
        <w:t xml:space="preserve"> بهتر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قبل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شروع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فرآيند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رقابت،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تجربه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ناخوشايند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اضطراب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زمان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بازي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جلوگيري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شود</w:t>
      </w:r>
      <w:r w:rsidRPr="000125AA">
        <w:rPr>
          <w:rFonts w:cs="B Nazanin"/>
          <w:sz w:val="28"/>
          <w:szCs w:val="28"/>
          <w:rtl/>
        </w:rPr>
        <w:t xml:space="preserve">. </w:t>
      </w:r>
    </w:p>
    <w:p w:rsidR="002D2FB8" w:rsidRPr="000125AA" w:rsidRDefault="002D2FB8" w:rsidP="002D2FB8">
      <w:pPr>
        <w:spacing w:after="0" w:line="360" w:lineRule="auto"/>
        <w:jc w:val="both"/>
        <w:rPr>
          <w:rFonts w:cs="B Nazanin"/>
          <w:sz w:val="28"/>
          <w:szCs w:val="28"/>
          <w:rtl/>
          <w:lang w:val="en-ZW"/>
        </w:rPr>
      </w:pPr>
      <w:r w:rsidRPr="000125AA">
        <w:rPr>
          <w:rFonts w:cs="B Nazanin" w:hint="cs"/>
          <w:sz w:val="28"/>
          <w:szCs w:val="28"/>
          <w:rtl/>
        </w:rPr>
        <w:t>صرف زمان 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به دست آوردن مجدد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تمركز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فرآيند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اجرا،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ممكن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است موجب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ركود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همان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شود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راهبردهای مقابله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ركود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که مشكل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تمركز دارند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يا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آنهایی</w:t>
      </w:r>
      <w:r w:rsidRPr="000125AA">
        <w:rPr>
          <w:rFonts w:cs="B Nazanin"/>
          <w:sz w:val="28"/>
          <w:szCs w:val="28"/>
          <w:rtl/>
        </w:rPr>
        <w:softHyphen/>
      </w:r>
      <w:r w:rsidRPr="000125AA">
        <w:rPr>
          <w:rFonts w:cs="B Nazanin" w:hint="cs"/>
          <w:sz w:val="28"/>
          <w:szCs w:val="28"/>
          <w:rtl/>
        </w:rPr>
        <w:t>كه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معايت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عملكرد را شناسايي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تصحيح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مي</w:t>
      </w:r>
      <w:r w:rsidRPr="000125AA">
        <w:rPr>
          <w:rFonts w:cs="B Nazanin" w:hint="cs"/>
          <w:sz w:val="28"/>
          <w:szCs w:val="28"/>
          <w:rtl/>
        </w:rPr>
        <w:softHyphen/>
        <w:t>کنند،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برطرف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كردن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ركود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افزایش خودكارآمدي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نيز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مفيد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 xml:space="preserve">هستند </w:t>
      </w:r>
      <w:r w:rsidRPr="000125AA">
        <w:rPr>
          <w:rFonts w:cs="B Nazanin"/>
          <w:sz w:val="28"/>
          <w:szCs w:val="28"/>
          <w:rtl/>
        </w:rPr>
        <w:t>(</w:t>
      </w:r>
      <w:r w:rsidRPr="000125AA">
        <w:rPr>
          <w:rFonts w:cs="B Nazanin" w:hint="cs"/>
          <w:sz w:val="28"/>
          <w:szCs w:val="28"/>
          <w:rtl/>
        </w:rPr>
        <w:t>هاردي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همكاران،</w:t>
      </w:r>
      <w:r w:rsidRPr="000125AA">
        <w:rPr>
          <w:rFonts w:cs="B Nazanin"/>
          <w:sz w:val="28"/>
          <w:szCs w:val="28"/>
          <w:rtl/>
        </w:rPr>
        <w:t xml:space="preserve"> ١٩٩٦</w:t>
      </w:r>
      <w:r w:rsidRPr="000125AA">
        <w:rPr>
          <w:rFonts w:cs="B Nazanin" w:hint="cs"/>
          <w:sz w:val="28"/>
          <w:szCs w:val="28"/>
          <w:rtl/>
        </w:rPr>
        <w:t>؛ تيلور،</w:t>
      </w:r>
      <w:r w:rsidRPr="000125AA">
        <w:rPr>
          <w:rFonts w:cs="B Nazanin"/>
          <w:sz w:val="28"/>
          <w:szCs w:val="28"/>
          <w:rtl/>
        </w:rPr>
        <w:t xml:space="preserve"> ١٩٨٨)</w:t>
      </w:r>
      <w:r w:rsidRPr="000125AA">
        <w:rPr>
          <w:rFonts w:cs="B Nazanin" w:hint="cs"/>
          <w:sz w:val="28"/>
          <w:szCs w:val="28"/>
          <w:rtl/>
        </w:rPr>
        <w:t xml:space="preserve">. 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راهنمايي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اطلاعات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افراد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آگاه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حمايت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مربيان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نيز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برطرف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كردن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فعاليت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مفيد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هستند</w:t>
      </w:r>
      <w:r w:rsidRPr="000125AA">
        <w:rPr>
          <w:rFonts w:cs="B Nazanin"/>
          <w:sz w:val="28"/>
          <w:szCs w:val="28"/>
          <w:rtl/>
        </w:rPr>
        <w:t xml:space="preserve">. </w:t>
      </w:r>
      <w:r w:rsidRPr="000125AA">
        <w:rPr>
          <w:rFonts w:cs="B Nazanin" w:hint="cs"/>
          <w:sz w:val="28"/>
          <w:szCs w:val="28"/>
          <w:rtl/>
        </w:rPr>
        <w:t>اجتناب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فكر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lastRenderedPageBreak/>
        <w:t>كردن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در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مورد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ركود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مشغول شدن به تمرین کمتر اصلاحی 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افكار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پوچ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واهي که سازگارانه نیستند،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از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جمله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راهبردهاي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اصلي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براي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مقابله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با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اين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پديده</w:t>
      </w:r>
      <w:r w:rsidRPr="000125AA">
        <w:rPr>
          <w:rFonts w:cs="B Nazanin"/>
          <w:sz w:val="28"/>
          <w:szCs w:val="28"/>
          <w:rtl/>
        </w:rPr>
        <w:t xml:space="preserve"> </w:t>
      </w:r>
      <w:r w:rsidRPr="000125AA">
        <w:rPr>
          <w:rFonts w:cs="B Nazanin" w:hint="cs"/>
          <w:sz w:val="28"/>
          <w:szCs w:val="28"/>
          <w:rtl/>
        </w:rPr>
        <w:t>هستند</w:t>
      </w:r>
      <w:r w:rsidRPr="000125AA">
        <w:rPr>
          <w:rFonts w:cs="B Nazanin"/>
          <w:sz w:val="28"/>
          <w:szCs w:val="28"/>
        </w:rPr>
        <w:t>.</w:t>
      </w:r>
    </w:p>
    <w:p w:rsidR="002D2FB8" w:rsidRPr="008D48A5" w:rsidRDefault="002D2FB8" w:rsidP="008D48A5">
      <w:pPr>
        <w:spacing w:line="360" w:lineRule="auto"/>
        <w:rPr>
          <w:sz w:val="24"/>
          <w:szCs w:val="24"/>
        </w:rPr>
      </w:pPr>
    </w:p>
    <w:sectPr w:rsidR="002D2FB8" w:rsidRPr="008D48A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1B" w:rsidRDefault="00F23C1B" w:rsidP="008D48A5">
      <w:pPr>
        <w:spacing w:after="0" w:line="240" w:lineRule="auto"/>
      </w:pPr>
      <w:r>
        <w:separator/>
      </w:r>
    </w:p>
  </w:endnote>
  <w:endnote w:type="continuationSeparator" w:id="0">
    <w:p w:rsidR="00F23C1B" w:rsidRDefault="00F23C1B" w:rsidP="008D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09639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BB7" w:rsidRDefault="008E7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8E7BB7" w:rsidRDefault="008E7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1B" w:rsidRDefault="00F23C1B" w:rsidP="008D48A5">
      <w:pPr>
        <w:bidi w:val="0"/>
        <w:spacing w:after="0" w:line="240" w:lineRule="auto"/>
      </w:pPr>
      <w:r>
        <w:separator/>
      </w:r>
    </w:p>
  </w:footnote>
  <w:footnote w:type="continuationSeparator" w:id="0">
    <w:p w:rsidR="00F23C1B" w:rsidRDefault="00F23C1B" w:rsidP="008D48A5">
      <w:pPr>
        <w:spacing w:after="0" w:line="240" w:lineRule="auto"/>
      </w:pPr>
      <w:r>
        <w:continuationSeparator/>
      </w:r>
    </w:p>
  </w:footnote>
  <w:footnote w:id="1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.self-talk</w:t>
      </w:r>
    </w:p>
  </w:footnote>
  <w:footnote w:id="2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.Hatzigeorgiadis, Zourbanos, Theodorakis</w:t>
      </w:r>
    </w:p>
  </w:footnote>
  <w:footnote w:id="3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.Cutton &amp; Landin</w:t>
      </w:r>
    </w:p>
  </w:footnote>
  <w:footnote w:id="4">
    <w:p w:rsidR="002D2FB8" w:rsidRPr="002D095E" w:rsidRDefault="002D2FB8" w:rsidP="002D2FB8">
      <w:pPr>
        <w:pStyle w:val="FootnoteText"/>
        <w:bidi w:val="0"/>
        <w:rPr>
          <w:lang w:val="fr-FR"/>
        </w:rPr>
      </w:pPr>
      <w:r>
        <w:rPr>
          <w:rStyle w:val="FootnoteReference"/>
        </w:rPr>
        <w:footnoteRef/>
      </w:r>
      <w:r w:rsidRPr="002D095E">
        <w:rPr>
          <w:lang w:val="fr-FR"/>
        </w:rPr>
        <w:t xml:space="preserve"> .Hebert</w:t>
      </w:r>
    </w:p>
  </w:footnote>
  <w:footnote w:id="5">
    <w:p w:rsidR="002D2FB8" w:rsidRPr="002D095E" w:rsidRDefault="002D2FB8" w:rsidP="002D2FB8">
      <w:pPr>
        <w:pStyle w:val="FootnoteText"/>
        <w:bidi w:val="0"/>
        <w:rPr>
          <w:lang w:val="fr-FR"/>
        </w:rPr>
      </w:pPr>
      <w:r>
        <w:rPr>
          <w:rStyle w:val="FootnoteReference"/>
        </w:rPr>
        <w:footnoteRef/>
      </w:r>
      <w:r w:rsidRPr="002D095E">
        <w:rPr>
          <w:lang w:val="fr-FR"/>
        </w:rPr>
        <w:t xml:space="preserve"> .self-concept</w:t>
      </w:r>
    </w:p>
  </w:footnote>
  <w:footnote w:id="6">
    <w:p w:rsidR="002D2FB8" w:rsidRPr="002D095E" w:rsidRDefault="002D2FB8" w:rsidP="002D2FB8">
      <w:pPr>
        <w:pStyle w:val="FootnoteText"/>
        <w:bidi w:val="0"/>
        <w:rPr>
          <w:lang w:val="fr-FR"/>
        </w:rPr>
      </w:pPr>
      <w:r>
        <w:rPr>
          <w:rStyle w:val="FootnoteReference"/>
        </w:rPr>
        <w:footnoteRef/>
      </w:r>
      <w:r w:rsidRPr="002D095E">
        <w:rPr>
          <w:lang w:val="fr-FR"/>
        </w:rPr>
        <w:t xml:space="preserve"> .Schuler &amp; Langens</w:t>
      </w:r>
    </w:p>
  </w:footnote>
  <w:footnote w:id="7">
    <w:p w:rsidR="002D2FB8" w:rsidRPr="002D095E" w:rsidRDefault="002D2FB8" w:rsidP="002D2FB8">
      <w:pPr>
        <w:pStyle w:val="FootnoteText"/>
        <w:bidi w:val="0"/>
        <w:rPr>
          <w:lang w:val="fr-FR"/>
        </w:rPr>
      </w:pPr>
      <w:r>
        <w:rPr>
          <w:rStyle w:val="FootnoteReference"/>
        </w:rPr>
        <w:footnoteRef/>
      </w:r>
      <w:r w:rsidRPr="002D095E">
        <w:rPr>
          <w:lang w:val="fr-FR"/>
        </w:rPr>
        <w:t xml:space="preserve"> .Latinjak, Torregrosa &amp; Renom</w:t>
      </w:r>
    </w:p>
  </w:footnote>
  <w:footnote w:id="8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.Hayslip, Petrie</w:t>
      </w:r>
    </w:p>
  </w:footnote>
  <w:footnote w:id="9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.Tod, Hardy &amp; Oliver</w:t>
      </w:r>
    </w:p>
  </w:footnote>
  <w:footnote w:id="10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.Van Raalte, Brewer, Rivera &amp; Petitpas</w:t>
      </w:r>
    </w:p>
  </w:footnote>
  <w:footnote w:id="11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.Cornelius , Hatten</w:t>
      </w:r>
    </w:p>
  </w:footnote>
  <w:footnote w:id="12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.Zervas, Stavrou &amp; Psychountaki</w:t>
      </w:r>
    </w:p>
  </w:footnote>
  <w:footnote w:id="13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.Tatcher, McGuigan</w:t>
      </w:r>
    </w:p>
  </w:footnote>
  <w:footnote w:id="14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.Hrycaiko</w:t>
      </w:r>
    </w:p>
  </w:footnote>
  <w:footnote w:id="15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.split</w:t>
      </w:r>
    </w:p>
  </w:footnote>
  <w:footnote w:id="16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.turn</w:t>
      </w:r>
    </w:p>
  </w:footnote>
  <w:footnote w:id="17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.Papaloannou</w:t>
      </w:r>
    </w:p>
  </w:footnote>
  <w:footnote w:id="18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.Yee &amp; Vaughan</w:t>
      </w:r>
    </w:p>
  </w:footnote>
  <w:footnote w:id="19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.Baumeister &amp; Showers</w:t>
      </w:r>
    </w:p>
  </w:footnote>
  <w:footnote w:id="20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.Humphereys &amp; Revelle</w:t>
      </w:r>
    </w:p>
  </w:footnote>
  <w:footnote w:id="21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.Sarason, Pierce</w:t>
      </w:r>
    </w:p>
  </w:footnote>
  <w:footnote w:id="22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.Hanegby &amp; Tenenbaum</w:t>
      </w:r>
    </w:p>
  </w:footnote>
  <w:footnote w:id="23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.Markland</w:t>
      </w:r>
    </w:p>
  </w:footnote>
  <w:footnote w:id="24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.Craft, Magyar, Becker &amp; Feltz</w:t>
      </w:r>
    </w:p>
  </w:footnote>
  <w:footnote w:id="25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.Harwood</w:t>
      </w:r>
    </w:p>
  </w:footnote>
  <w:footnote w:id="26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.Lindsley, Brass &amp; Thomas</w:t>
      </w:r>
    </w:p>
  </w:footnote>
  <w:footnote w:id="27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.slump</w:t>
      </w:r>
    </w:p>
  </w:footnote>
  <w:footnote w:id="28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.Taylor</w:t>
      </w:r>
    </w:p>
  </w:footnote>
  <w:footnote w:id="29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.So what</w:t>
      </w:r>
    </w:p>
  </w:footnote>
  <w:footnote w:id="30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.got it</w:t>
      </w:r>
    </w:p>
  </w:footnote>
  <w:footnote w:id="31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.Zinsser</w:t>
      </w:r>
    </w:p>
  </w:footnote>
  <w:footnote w:id="32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.Hays, Thomas, Maynard &amp; Bawden</w:t>
      </w:r>
    </w:p>
  </w:footnote>
  <w:footnote w:id="33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.Suinn</w:t>
      </w:r>
    </w:p>
  </w:footnote>
  <w:footnote w:id="34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.Martina Hingis</w:t>
      </w:r>
    </w:p>
  </w:footnote>
  <w:footnote w:id="35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.Steffi Graf</w:t>
      </w:r>
    </w:p>
  </w:footnote>
  <w:footnote w:id="36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.Jacobs</w:t>
      </w:r>
    </w:p>
  </w:footnote>
  <w:footnote w:id="37">
    <w:p w:rsidR="002D2FB8" w:rsidRDefault="002D2FB8" w:rsidP="002D2FB8">
      <w:pPr>
        <w:pStyle w:val="FootnoteText"/>
        <w:bidi w:val="0"/>
      </w:pPr>
      <w:r>
        <w:rPr>
          <w:rStyle w:val="FootnoteReference"/>
        </w:rPr>
        <w:footnoteRef/>
      </w:r>
      <w:r>
        <w:t xml:space="preserve"> .Underwood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CD0"/>
    <w:multiLevelType w:val="hybridMultilevel"/>
    <w:tmpl w:val="458ED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74DD"/>
    <w:multiLevelType w:val="hybridMultilevel"/>
    <w:tmpl w:val="07966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555E"/>
    <w:multiLevelType w:val="hybridMultilevel"/>
    <w:tmpl w:val="9462F56E"/>
    <w:lvl w:ilvl="0" w:tplc="D5AA5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01826"/>
    <w:multiLevelType w:val="hybridMultilevel"/>
    <w:tmpl w:val="A386B906"/>
    <w:lvl w:ilvl="0" w:tplc="E40AF69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EAE42C0"/>
    <w:multiLevelType w:val="hybridMultilevel"/>
    <w:tmpl w:val="11C2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E6C76"/>
    <w:multiLevelType w:val="hybridMultilevel"/>
    <w:tmpl w:val="7626F66A"/>
    <w:lvl w:ilvl="0" w:tplc="A54273F2">
      <w:start w:val="1"/>
      <w:numFmt w:val="decimalFullWidt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D70BA"/>
    <w:multiLevelType w:val="hybridMultilevel"/>
    <w:tmpl w:val="F4B6B5A6"/>
    <w:lvl w:ilvl="0" w:tplc="2B002AA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1393D"/>
    <w:multiLevelType w:val="hybridMultilevel"/>
    <w:tmpl w:val="39E6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C1E84"/>
    <w:multiLevelType w:val="hybridMultilevel"/>
    <w:tmpl w:val="EDD6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D0631"/>
    <w:multiLevelType w:val="hybridMultilevel"/>
    <w:tmpl w:val="EDD6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C5E54"/>
    <w:multiLevelType w:val="hybridMultilevel"/>
    <w:tmpl w:val="CB983B3E"/>
    <w:lvl w:ilvl="0" w:tplc="8D22E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52D2"/>
    <w:multiLevelType w:val="hybridMultilevel"/>
    <w:tmpl w:val="C15A5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42651"/>
    <w:multiLevelType w:val="hybridMultilevel"/>
    <w:tmpl w:val="1D32699E"/>
    <w:lvl w:ilvl="0" w:tplc="88B62176">
      <w:start w:val="1"/>
      <w:numFmt w:val="decimal"/>
      <w:lvlText w:val="%1."/>
      <w:lvlJc w:val="left"/>
      <w:pPr>
        <w:ind w:left="555" w:hanging="360"/>
      </w:p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>
      <w:start w:val="1"/>
      <w:numFmt w:val="lowerRoman"/>
      <w:lvlText w:val="%3."/>
      <w:lvlJc w:val="right"/>
      <w:pPr>
        <w:ind w:left="1995" w:hanging="180"/>
      </w:pPr>
    </w:lvl>
    <w:lvl w:ilvl="3" w:tplc="0409000F">
      <w:start w:val="1"/>
      <w:numFmt w:val="decimal"/>
      <w:lvlText w:val="%4."/>
      <w:lvlJc w:val="left"/>
      <w:pPr>
        <w:ind w:left="2715" w:hanging="360"/>
      </w:pPr>
    </w:lvl>
    <w:lvl w:ilvl="4" w:tplc="04090019">
      <w:start w:val="1"/>
      <w:numFmt w:val="lowerLetter"/>
      <w:lvlText w:val="%5."/>
      <w:lvlJc w:val="left"/>
      <w:pPr>
        <w:ind w:left="3435" w:hanging="360"/>
      </w:pPr>
    </w:lvl>
    <w:lvl w:ilvl="5" w:tplc="0409001B">
      <w:start w:val="1"/>
      <w:numFmt w:val="lowerRoman"/>
      <w:lvlText w:val="%6."/>
      <w:lvlJc w:val="right"/>
      <w:pPr>
        <w:ind w:left="4155" w:hanging="180"/>
      </w:pPr>
    </w:lvl>
    <w:lvl w:ilvl="6" w:tplc="0409000F">
      <w:start w:val="1"/>
      <w:numFmt w:val="decimal"/>
      <w:lvlText w:val="%7."/>
      <w:lvlJc w:val="left"/>
      <w:pPr>
        <w:ind w:left="4875" w:hanging="360"/>
      </w:pPr>
    </w:lvl>
    <w:lvl w:ilvl="7" w:tplc="04090019">
      <w:start w:val="1"/>
      <w:numFmt w:val="lowerLetter"/>
      <w:lvlText w:val="%8."/>
      <w:lvlJc w:val="left"/>
      <w:pPr>
        <w:ind w:left="5595" w:hanging="360"/>
      </w:pPr>
    </w:lvl>
    <w:lvl w:ilvl="8" w:tplc="0409001B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56665C7C"/>
    <w:multiLevelType w:val="hybridMultilevel"/>
    <w:tmpl w:val="6D106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0368B"/>
    <w:multiLevelType w:val="hybridMultilevel"/>
    <w:tmpl w:val="2CBA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60BD4"/>
    <w:multiLevelType w:val="hybridMultilevel"/>
    <w:tmpl w:val="FF308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4975CC"/>
    <w:multiLevelType w:val="hybridMultilevel"/>
    <w:tmpl w:val="4434F5F6"/>
    <w:lvl w:ilvl="0" w:tplc="541A0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A5"/>
    <w:rsid w:val="002D2FB8"/>
    <w:rsid w:val="0033133E"/>
    <w:rsid w:val="00846D96"/>
    <w:rsid w:val="008D48A5"/>
    <w:rsid w:val="008E7BB7"/>
    <w:rsid w:val="00A922C4"/>
    <w:rsid w:val="00DD7CBE"/>
    <w:rsid w:val="00F2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A5"/>
    <w:pPr>
      <w:bidi/>
      <w:spacing w:after="160"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48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8A5"/>
    <w:rPr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D4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A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D4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A5"/>
    <w:rPr>
      <w:lang w:bidi="fa-IR"/>
    </w:rPr>
  </w:style>
  <w:style w:type="paragraph" w:styleId="ListParagraph">
    <w:name w:val="List Paragraph"/>
    <w:basedOn w:val="Normal"/>
    <w:uiPriority w:val="34"/>
    <w:qFormat/>
    <w:rsid w:val="008D48A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D48A5"/>
    <w:rPr>
      <w:vertAlign w:val="superscript"/>
    </w:rPr>
  </w:style>
  <w:style w:type="table" w:styleId="TableGrid">
    <w:name w:val="Table Grid"/>
    <w:basedOn w:val="TableNormal"/>
    <w:uiPriority w:val="39"/>
    <w:rsid w:val="008D48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8D48A5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A5"/>
    <w:rPr>
      <w:rFonts w:ascii="Tahoma" w:hAnsi="Tahoma" w:cs="Tahoma"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8D48A5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A5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8A5"/>
    <w:rPr>
      <w:b/>
      <w:bCs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8A5"/>
    <w:rPr>
      <w:sz w:val="20"/>
      <w:szCs w:val="20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8A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8D48A5"/>
    <w:rPr>
      <w:sz w:val="20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8D48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A5"/>
    <w:pPr>
      <w:bidi/>
      <w:spacing w:after="160"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48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8A5"/>
    <w:rPr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D4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A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D4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A5"/>
    <w:rPr>
      <w:lang w:bidi="fa-IR"/>
    </w:rPr>
  </w:style>
  <w:style w:type="paragraph" w:styleId="ListParagraph">
    <w:name w:val="List Paragraph"/>
    <w:basedOn w:val="Normal"/>
    <w:uiPriority w:val="34"/>
    <w:qFormat/>
    <w:rsid w:val="008D48A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D48A5"/>
    <w:rPr>
      <w:vertAlign w:val="superscript"/>
    </w:rPr>
  </w:style>
  <w:style w:type="table" w:styleId="TableGrid">
    <w:name w:val="Table Grid"/>
    <w:basedOn w:val="TableNormal"/>
    <w:uiPriority w:val="39"/>
    <w:rsid w:val="008D48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8D48A5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A5"/>
    <w:rPr>
      <w:rFonts w:ascii="Tahoma" w:hAnsi="Tahoma" w:cs="Tahoma"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8D48A5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A5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8A5"/>
    <w:rPr>
      <w:b/>
      <w:bCs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8A5"/>
    <w:rPr>
      <w:sz w:val="20"/>
      <w:szCs w:val="20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8A5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8D48A5"/>
    <w:rPr>
      <w:sz w:val="20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8D48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5612-EC02-4FE4-AD8B-58244054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2020-04-26T14:15:00Z</dcterms:created>
  <dcterms:modified xsi:type="dcterms:W3CDTF">2020-04-26T14:15:00Z</dcterms:modified>
</cp:coreProperties>
</file>